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02/23/2021</w:t>
      </w:r>
      <w:r>
        <w:rPr>
          <w:b/>
        </w:rPr>
        <w:br/>
        <w:t>TO:</w:t>
      </w:r>
      <w:r>
        <w:tab/>
        <w:tab/>
        <w:t>Seth Edwards</w:t>
      </w:r>
      <w:r>
        <w:rPr>
          <w:b/>
        </w:rPr>
        <w:br/>
        <w:t>FROM:</w:t>
      </w:r>
      <w:r>
        <w:tab/>
        <w:t>Travis</w:t>
      </w:r>
      <w:r>
        <w:rPr>
          <w:b/>
        </w:rPr>
        <w:br/>
        <w:t>SUBJECT:</w:t>
      </w:r>
      <w:r>
        <w:tab/>
        <w:t>Cucumber House</w:t>
      </w:r>
      <w:r>
        <w:br/>
        <w:tab/>
        <w:tab/>
        <w:t>DSC Engineering Review Comments</w:t>
      </w:r>
      <w:r>
        <w:br/>
        <w:tab/>
        <w:tab/>
        <w:t>DSC File: Z89-082829-SP</w:t>
        <w:br/>
      </w:r>
    </w:p>
    <w:p>
      <w:pPr/>
      <w:r>
        <w:t>DSC cannot approve the project at this time. The following comments must first be addressed:</w:t>
        <w:br/>
      </w:r>
      <w:r>
        <w:br/>
        <w:t>1:  Provide a Stormwater Management Narrative with the following information, but not be limited to: Description of existing site conditions; Pre-development and post-development drainage conditions and patterns; Disturbed area; Proposed impervious area; Soil characteristics; Description of proposed development; Description of proposed stormwater management facilities; Special circumstances and assumptions; Summary of flow results and how the stormwater management design meets water quality and water quantity (channel and flood protection) requirements in accordance with the City Stormwater Management Ordinance ((City Code, Appendix D, Sec. 1-6.).)</w:t>
      </w:r>
      <w:r>
        <w:br/>
        <w:t>2:  Provide the predeveloped and post developed drainage area maps to the plans ((City Code, Appendix D, Sec. 1-6.).)</w:t>
      </w:r>
      <w:r>
        <w:br/>
        <w:t>3:  Provide geotech. (VA DEQ Spec. No. 8a. .)</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