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F415" w14:textId="76F4F2F1" w:rsidR="00DD6CE7" w:rsidRPr="00DD6CE7" w:rsidRDefault="00DD6CE7" w:rsidP="00DD6CE7">
      <w:pPr>
        <w:pStyle w:val="Title"/>
        <w:rPr>
          <w:rFonts w:ascii="Calibri" w:hAnsi="Calibri" w:cs="Calibri"/>
          <w:b/>
          <w:bCs/>
          <w:color w:val="861F41" w:themeColor="accent1"/>
        </w:rPr>
      </w:pPr>
      <w:r w:rsidRPr="00DD6CE7">
        <w:rPr>
          <w:rFonts w:ascii="Calibri" w:hAnsi="Calibri" w:cs="Calibri"/>
          <w:b/>
          <w:bCs/>
          <w:color w:val="861F41" w:themeColor="accent1"/>
        </w:rPr>
        <w:t xml:space="preserve">Transcript for </w:t>
      </w:r>
      <w:r w:rsidRPr="00DD6CE7">
        <w:rPr>
          <w:rFonts w:ascii="Calibri" w:hAnsi="Calibri" w:cs="Calibri"/>
          <w:b/>
          <w:bCs/>
          <w:color w:val="861F41" w:themeColor="accent1"/>
        </w:rPr>
        <w:br/>
      </w:r>
      <w:r w:rsidRPr="00DD6CE7">
        <w:rPr>
          <w:rFonts w:ascii="Calibri" w:hAnsi="Calibri" w:cs="Calibri"/>
          <w:b/>
          <w:bCs/>
          <w:color w:val="861F41" w:themeColor="accent1"/>
        </w:rPr>
        <w:t>Interpretive Pillars of Accessibility</w:t>
      </w:r>
    </w:p>
    <w:p w14:paraId="320FB4A1" w14:textId="77777777" w:rsidR="00DD6CE7" w:rsidRPr="00DD6CE7" w:rsidRDefault="00DD6CE7" w:rsidP="00DD6CE7">
      <w:pPr>
        <w:rPr>
          <w:rFonts w:ascii="Calibri" w:hAnsi="Calibri" w:cs="Calibri"/>
          <w:sz w:val="24"/>
          <w:szCs w:val="24"/>
        </w:rPr>
      </w:pPr>
      <w:r w:rsidRPr="00DD6CE7">
        <w:rPr>
          <w:rFonts w:ascii="Calibri" w:hAnsi="Calibri" w:cs="Calibri"/>
          <w:sz w:val="24"/>
          <w:szCs w:val="24"/>
        </w:rPr>
        <w:t>The development of accessible interpretive signage requires the active inclusion of voices and experiences not often considered in public development. The following pillars outline four areas where gaps in accessibility most commonly exist. By keeping these areas in mind, your signage will be able to reach and empower a much wider audience.</w:t>
      </w:r>
    </w:p>
    <w:p w14:paraId="1F9146A7" w14:textId="77777777" w:rsidR="00DD6CE7" w:rsidRPr="00DD6CE7" w:rsidRDefault="00DD6CE7" w:rsidP="00DD6CE7">
      <w:pPr>
        <w:pStyle w:val="Heading2"/>
      </w:pPr>
      <w:r w:rsidRPr="00DD6CE7">
        <w:t>01. Visual accessibility</w:t>
      </w:r>
    </w:p>
    <w:p w14:paraId="2350370E" w14:textId="77777777" w:rsidR="00DD6CE7" w:rsidRPr="00DD6CE7" w:rsidRDefault="00DD6CE7" w:rsidP="00DD6CE7">
      <w:pPr>
        <w:rPr>
          <w:rFonts w:ascii="Calibri" w:hAnsi="Calibri" w:cs="Calibri"/>
          <w:sz w:val="24"/>
          <w:szCs w:val="24"/>
        </w:rPr>
      </w:pPr>
      <w:r w:rsidRPr="00DD6CE7">
        <w:rPr>
          <w:rFonts w:ascii="Calibri" w:hAnsi="Calibri" w:cs="Calibri"/>
          <w:sz w:val="24"/>
          <w:szCs w:val="24"/>
        </w:rPr>
        <w:t xml:space="preserve">The visual accessibility of an interpretive sign includes several different design aspects including font size, color choice, and sign </w:t>
      </w:r>
      <w:proofErr w:type="spellStart"/>
      <w:r w:rsidRPr="00DD6CE7">
        <w:rPr>
          <w:rFonts w:ascii="Calibri" w:hAnsi="Calibri" w:cs="Calibri"/>
          <w:sz w:val="24"/>
          <w:szCs w:val="24"/>
        </w:rPr>
        <w:t>hight</w:t>
      </w:r>
      <w:proofErr w:type="spellEnd"/>
      <w:r w:rsidRPr="00DD6CE7">
        <w:rPr>
          <w:rFonts w:ascii="Calibri" w:hAnsi="Calibri" w:cs="Calibri"/>
          <w:sz w:val="24"/>
          <w:szCs w:val="24"/>
        </w:rPr>
        <w:t xml:space="preserve">. Fonts should be large enough for those with poorer eyesight to read, red/green based colored graphics should be avoided for those with color blindness, and signs should be at a </w:t>
      </w:r>
      <w:proofErr w:type="spellStart"/>
      <w:r w:rsidRPr="00DD6CE7">
        <w:rPr>
          <w:rFonts w:ascii="Calibri" w:hAnsi="Calibri" w:cs="Calibri"/>
          <w:sz w:val="24"/>
          <w:szCs w:val="24"/>
        </w:rPr>
        <w:t>hight</w:t>
      </w:r>
      <w:proofErr w:type="spellEnd"/>
      <w:r w:rsidRPr="00DD6CE7">
        <w:rPr>
          <w:rFonts w:ascii="Calibri" w:hAnsi="Calibri" w:cs="Calibri"/>
          <w:sz w:val="24"/>
          <w:szCs w:val="24"/>
        </w:rPr>
        <w:t xml:space="preserve"> where those in wheelchairs can still read them.</w:t>
      </w:r>
    </w:p>
    <w:p w14:paraId="575CEB60" w14:textId="77777777" w:rsidR="00DD6CE7" w:rsidRPr="00DD6CE7" w:rsidRDefault="00DD6CE7" w:rsidP="00DD6CE7">
      <w:pPr>
        <w:pStyle w:val="Heading2"/>
      </w:pPr>
      <w:r w:rsidRPr="00DD6CE7">
        <w:t>02. Tactile accessibility</w:t>
      </w:r>
    </w:p>
    <w:p w14:paraId="22BEB32B" w14:textId="77777777" w:rsidR="00DD6CE7" w:rsidRPr="00DD6CE7" w:rsidRDefault="00DD6CE7" w:rsidP="00DD6CE7">
      <w:pPr>
        <w:rPr>
          <w:rFonts w:ascii="Calibri" w:hAnsi="Calibri" w:cs="Calibri"/>
          <w:sz w:val="24"/>
          <w:szCs w:val="24"/>
        </w:rPr>
      </w:pPr>
      <w:r w:rsidRPr="00DD6CE7">
        <w:rPr>
          <w:rFonts w:ascii="Calibri" w:hAnsi="Calibri" w:cs="Calibri"/>
          <w:sz w:val="24"/>
          <w:szCs w:val="24"/>
        </w:rPr>
        <w:t>Those with visual impairments can further be accommodated through tactile additions to signage. This includes hands-on artifacts, textures, and brail as needed to ensure that your signs message will come across in its entirety.</w:t>
      </w:r>
    </w:p>
    <w:p w14:paraId="08EC44AD" w14:textId="77777777" w:rsidR="00DD6CE7" w:rsidRPr="00DD6CE7" w:rsidRDefault="00DD6CE7" w:rsidP="00DD6CE7">
      <w:pPr>
        <w:pStyle w:val="Heading2"/>
      </w:pPr>
      <w:r w:rsidRPr="00DD6CE7">
        <w:t>03. Cognitive Accessibility</w:t>
      </w:r>
    </w:p>
    <w:p w14:paraId="6B136255" w14:textId="77777777" w:rsidR="00DD6CE7" w:rsidRPr="00DD6CE7" w:rsidRDefault="00DD6CE7" w:rsidP="00DD6CE7">
      <w:pPr>
        <w:rPr>
          <w:rFonts w:ascii="Calibri" w:hAnsi="Calibri" w:cs="Calibri"/>
          <w:sz w:val="24"/>
          <w:szCs w:val="24"/>
        </w:rPr>
      </w:pPr>
      <w:r w:rsidRPr="00DD6CE7">
        <w:rPr>
          <w:rFonts w:ascii="Calibri" w:hAnsi="Calibri" w:cs="Calibri"/>
          <w:sz w:val="24"/>
          <w:szCs w:val="24"/>
        </w:rPr>
        <w:t xml:space="preserve">Cognitive accessibility includes catering to those of a </w:t>
      </w:r>
      <w:proofErr w:type="gramStart"/>
      <w:r w:rsidRPr="00DD6CE7">
        <w:rPr>
          <w:rFonts w:ascii="Calibri" w:hAnsi="Calibri" w:cs="Calibri"/>
          <w:sz w:val="24"/>
          <w:szCs w:val="24"/>
        </w:rPr>
        <w:t>younger ages</w:t>
      </w:r>
      <w:proofErr w:type="gramEnd"/>
      <w:r w:rsidRPr="00DD6CE7">
        <w:rPr>
          <w:rFonts w:ascii="Calibri" w:hAnsi="Calibri" w:cs="Calibri"/>
          <w:sz w:val="24"/>
          <w:szCs w:val="24"/>
        </w:rPr>
        <w:t xml:space="preserve"> or differing mental capacities. To ensure these audiences can still glean the important bits of information from your signage, include a wide range of visuals and use language at no greater than an 8th grade level.</w:t>
      </w:r>
    </w:p>
    <w:p w14:paraId="61B04DA3" w14:textId="77777777" w:rsidR="00DD6CE7" w:rsidRPr="00DD6CE7" w:rsidRDefault="00DD6CE7" w:rsidP="00DD6CE7">
      <w:pPr>
        <w:pStyle w:val="Heading2"/>
      </w:pPr>
      <w:r w:rsidRPr="00DD6CE7">
        <w:t>04. Cultural Differences</w:t>
      </w:r>
    </w:p>
    <w:p w14:paraId="439F62AC" w14:textId="77777777" w:rsidR="00DD6CE7" w:rsidRPr="00DD6CE7" w:rsidRDefault="00DD6CE7" w:rsidP="00DD6CE7">
      <w:pPr>
        <w:rPr>
          <w:rFonts w:ascii="Calibri" w:hAnsi="Calibri" w:cs="Calibri"/>
          <w:sz w:val="24"/>
          <w:szCs w:val="24"/>
        </w:rPr>
      </w:pPr>
      <w:proofErr w:type="gramStart"/>
      <w:r w:rsidRPr="00DD6CE7">
        <w:rPr>
          <w:rFonts w:ascii="Calibri" w:hAnsi="Calibri" w:cs="Calibri"/>
          <w:sz w:val="24"/>
          <w:szCs w:val="24"/>
        </w:rPr>
        <w:t>Accommodating for</w:t>
      </w:r>
      <w:proofErr w:type="gramEnd"/>
      <w:r w:rsidRPr="00DD6CE7">
        <w:rPr>
          <w:rFonts w:ascii="Calibri" w:hAnsi="Calibri" w:cs="Calibri"/>
          <w:sz w:val="24"/>
          <w:szCs w:val="24"/>
        </w:rPr>
        <w:t xml:space="preserve"> cultural differences means taking into account language barriers and how meanings can change based on cultural context. As with many of the other pillars, using basic language and avoiding jargon is imperative. Including many visuals and physical examples of concepts may also be helpful.</w:t>
      </w:r>
    </w:p>
    <w:p w14:paraId="31487CD7" w14:textId="77777777" w:rsidR="00247095" w:rsidRPr="00DD6CE7" w:rsidRDefault="00247095">
      <w:pPr>
        <w:rPr>
          <w:rFonts w:ascii="Calibri" w:hAnsi="Calibri" w:cs="Calibri"/>
          <w:sz w:val="24"/>
          <w:szCs w:val="24"/>
        </w:rPr>
      </w:pPr>
    </w:p>
    <w:sectPr w:rsidR="00247095" w:rsidRPr="00DD6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CE7"/>
    <w:rsid w:val="0005210A"/>
    <w:rsid w:val="000B3843"/>
    <w:rsid w:val="00247095"/>
    <w:rsid w:val="004F796B"/>
    <w:rsid w:val="00513A84"/>
    <w:rsid w:val="00744F01"/>
    <w:rsid w:val="007E13DB"/>
    <w:rsid w:val="007E769B"/>
    <w:rsid w:val="00817549"/>
    <w:rsid w:val="008E4FEE"/>
    <w:rsid w:val="00CA0E31"/>
    <w:rsid w:val="00CB20B1"/>
    <w:rsid w:val="00DD6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A9A7"/>
  <w15:chartTrackingRefBased/>
  <w15:docId w15:val="{8D666E8A-9A45-485B-B94A-56F19F75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1</cp:revision>
  <dcterms:created xsi:type="dcterms:W3CDTF">2026-09-01T06:07:00Z</dcterms:created>
  <dcterms:modified xsi:type="dcterms:W3CDTF">2026-09-01T06:13:00Z</dcterms:modified>
</cp:coreProperties>
</file>