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F8E" w14:textId="77777777" w:rsidR="000C0470" w:rsidRPr="00650484" w:rsidRDefault="00BB6CCE" w:rsidP="00650484">
      <w:pPr>
        <w:pStyle w:val="Heading1"/>
        <w:pBdr>
          <w:bottom w:val="single" w:sz="24" w:space="1" w:color="861F41" w:themeColor="accent1"/>
        </w:pBdr>
        <w:spacing w:before="0"/>
        <w:rPr>
          <w:sz w:val="32"/>
          <w:szCs w:val="32"/>
        </w:rPr>
      </w:pPr>
      <w:r w:rsidRPr="00650484">
        <w:rPr>
          <w:sz w:val="32"/>
          <w:szCs w:val="32"/>
        </w:rPr>
        <w:t>MEMO</w:t>
      </w:r>
    </w:p>
    <w:p w14:paraId="4AEB3E52" w14:textId="36731DF6" w:rsidR="000C0470" w:rsidRPr="00FE38B9" w:rsidRDefault="00BB6CCE" w:rsidP="00650484">
      <w:pPr>
        <w:ind w:left="1170" w:hanging="1170"/>
      </w:pPr>
      <w:r w:rsidRPr="00FE38B9">
        <w:t>To:</w:t>
      </w:r>
      <w:r w:rsidR="00FE38B9">
        <w:tab/>
      </w:r>
      <w:r w:rsidRPr="00FE38B9">
        <w:t>Traci Gardner, Instructor, Technical &amp; Scientific Communication</w:t>
      </w:r>
    </w:p>
    <w:p w14:paraId="3DC2B16C" w14:textId="39A96A80" w:rsidR="000C0470" w:rsidRPr="00FE38B9" w:rsidRDefault="00BB6CCE" w:rsidP="00650484">
      <w:pPr>
        <w:ind w:left="1170" w:hanging="1170"/>
      </w:pPr>
      <w:r w:rsidRPr="00FE38B9">
        <w:t>From:</w:t>
      </w:r>
      <w:r w:rsidR="00FE38B9">
        <w:tab/>
      </w:r>
      <w:r w:rsidRPr="00FE38B9">
        <w:t xml:space="preserve">Jane Doe, </w:t>
      </w:r>
      <w:r w:rsidR="00FE38B9" w:rsidRPr="00FE38B9">
        <w:t>Technical &amp; Scientific Communication</w:t>
      </w:r>
      <w:r w:rsidRPr="00FE38B9">
        <w:t xml:space="preserve"> Major</w:t>
      </w:r>
    </w:p>
    <w:p w14:paraId="711D49B5" w14:textId="25640697" w:rsidR="000C0470" w:rsidRPr="00FE38B9" w:rsidRDefault="00BB6CCE" w:rsidP="00650484">
      <w:pPr>
        <w:ind w:left="1170" w:hanging="1170"/>
      </w:pPr>
      <w:r w:rsidRPr="00FE38B9">
        <w:t>Date:</w:t>
      </w:r>
      <w:r w:rsidR="00FE38B9">
        <w:tab/>
      </w:r>
      <w:r w:rsidRPr="00FE38B9">
        <w:t>2025-09-19</w:t>
      </w:r>
    </w:p>
    <w:p w14:paraId="0BA19DEB" w14:textId="678558B3" w:rsidR="000C0470" w:rsidRDefault="00BB6CCE" w:rsidP="00650484">
      <w:pPr>
        <w:pBdr>
          <w:bottom w:val="single" w:sz="24" w:space="1" w:color="861F41" w:themeColor="accent1"/>
        </w:pBdr>
        <w:ind w:left="1170" w:hanging="1170"/>
      </w:pPr>
      <w:r w:rsidRPr="00FE38B9">
        <w:t>Subject:</w:t>
      </w:r>
      <w:r w:rsidR="00FE38B9">
        <w:tab/>
      </w:r>
      <w:r w:rsidRPr="00FE38B9">
        <w:t>Proposal to Research Copyright, Intellectual Property, and Creative Commons for Teen Artists’ Studio Board</w:t>
      </w:r>
    </w:p>
    <w:p w14:paraId="5233E8E8" w14:textId="77777777" w:rsidR="000C0470" w:rsidRPr="00FE38B9" w:rsidRDefault="00BB6CCE" w:rsidP="00F36353">
      <w:pPr>
        <w:pStyle w:val="Heading2"/>
      </w:pPr>
      <w:r w:rsidRPr="00FE38B9">
        <w:t>Introduction</w:t>
      </w:r>
    </w:p>
    <w:p w14:paraId="2C7AF063" w14:textId="18D0DB27" w:rsidR="000C0470" w:rsidRPr="00FE38B9" w:rsidRDefault="00BB6CCE" w:rsidP="00650484">
      <w:r w:rsidRPr="00FE38B9">
        <w:t xml:space="preserve">I propose to write an informational report on copyright, intellectual property rights, and Creative Commons licensing, tailored for the Board of Directors at </w:t>
      </w:r>
      <w:r w:rsidR="00FE38B9" w:rsidRPr="00FE38B9">
        <w:rPr>
          <w:b/>
          <w:bCs/>
          <w:color w:val="861F41" w:themeColor="accent1"/>
        </w:rPr>
        <w:t xml:space="preserve">Maroon </w:t>
      </w:r>
      <w:r w:rsidR="00FE38B9" w:rsidRPr="00FE38B9">
        <w:rPr>
          <w:b/>
          <w:bCs/>
        </w:rPr>
        <w:t xml:space="preserve">+ </w:t>
      </w:r>
      <w:r w:rsidR="00FE38B9" w:rsidRPr="00FE38B9">
        <w:rPr>
          <w:b/>
          <w:bCs/>
          <w:color w:val="C64600"/>
        </w:rPr>
        <w:t xml:space="preserve">Orange </w:t>
      </w:r>
      <w:r w:rsidR="00FE38B9" w:rsidRPr="00FE38B9">
        <w:rPr>
          <w:b/>
          <w:bCs/>
        </w:rPr>
        <w:t xml:space="preserve">Digital’s </w:t>
      </w:r>
      <w:r w:rsidRPr="00FE38B9">
        <w:rPr>
          <w:b/>
          <w:bCs/>
        </w:rPr>
        <w:t>Teen Artists’ Studio.</w:t>
      </w:r>
      <w:r w:rsidRPr="00FE38B9">
        <w:t xml:space="preserve"> The goal is to help the Board understand how young artists can protect and license their work, so the Studio can design policies and resources that support its teen artists-in-residence.</w:t>
      </w:r>
    </w:p>
    <w:p w14:paraId="0364D338" w14:textId="77777777" w:rsidR="000C0470" w:rsidRPr="00FE38B9" w:rsidRDefault="00BB6CCE" w:rsidP="00F36353">
      <w:pPr>
        <w:pStyle w:val="Heading2"/>
      </w:pPr>
      <w:r w:rsidRPr="00FE38B9">
        <w:t>Project Overview</w:t>
      </w:r>
    </w:p>
    <w:p w14:paraId="118CA1FF" w14:textId="0346D3A9" w:rsidR="00FE38B9" w:rsidRDefault="00BB6CCE" w:rsidP="00650484">
      <w:r w:rsidRPr="00FE38B9">
        <w:t xml:space="preserve">Teen artists at the Studio create works ranging from </w:t>
      </w:r>
      <w:r w:rsidR="00F9220B">
        <w:t>poetry</w:t>
      </w:r>
      <w:r w:rsidRPr="00FE38B9">
        <w:t xml:space="preserve"> and digital art to music and multimedia. These works may have both personal and economic value. Yet many teen creators are unfamiliar with copyright law, what rights are automatically granted, and what choices Creative Commons licenses provide.</w:t>
      </w:r>
    </w:p>
    <w:p w14:paraId="634CBDD2" w14:textId="77777777" w:rsidR="00FE38B9" w:rsidRDefault="00BB6CCE" w:rsidP="00650484">
      <w:r w:rsidRPr="00FE38B9">
        <w:t>The report will:</w:t>
      </w:r>
    </w:p>
    <w:p w14:paraId="30BF0B8C" w14:textId="07CE4CB0" w:rsidR="00FE38B9" w:rsidRPr="00FE38B9" w:rsidRDefault="00BB6CCE" w:rsidP="00650484">
      <w:pPr>
        <w:pStyle w:val="ListParagraph"/>
        <w:numPr>
          <w:ilvl w:val="0"/>
          <w:numId w:val="13"/>
        </w:numPr>
      </w:pPr>
      <w:r w:rsidRPr="00FE38B9">
        <w:t>Define copyright and intellectual property rights.</w:t>
      </w:r>
    </w:p>
    <w:p w14:paraId="027E2667" w14:textId="1D36ADEC" w:rsidR="00FE38B9" w:rsidRPr="00FE38B9" w:rsidRDefault="00BB6CCE" w:rsidP="00650484">
      <w:pPr>
        <w:pStyle w:val="ListParagraph"/>
        <w:numPr>
          <w:ilvl w:val="0"/>
          <w:numId w:val="13"/>
        </w:numPr>
      </w:pPr>
      <w:r w:rsidRPr="00FE38B9">
        <w:t>Explain fair use and public domain.</w:t>
      </w:r>
    </w:p>
    <w:p w14:paraId="10290E6A" w14:textId="67CC88BE" w:rsidR="00FE38B9" w:rsidRPr="00FE38B9" w:rsidRDefault="00BB6CCE" w:rsidP="00650484">
      <w:pPr>
        <w:pStyle w:val="ListParagraph"/>
        <w:numPr>
          <w:ilvl w:val="0"/>
          <w:numId w:val="13"/>
        </w:numPr>
      </w:pPr>
      <w:r w:rsidRPr="00FE38B9">
        <w:t>Compare Creative Commons license types, their permissions and restrictions.</w:t>
      </w:r>
    </w:p>
    <w:p w14:paraId="26F6952F" w14:textId="654140D1" w:rsidR="00FE38B9" w:rsidRPr="00FE38B9" w:rsidRDefault="00BB6CCE" w:rsidP="00650484">
      <w:pPr>
        <w:pStyle w:val="ListParagraph"/>
        <w:numPr>
          <w:ilvl w:val="0"/>
          <w:numId w:val="13"/>
        </w:numPr>
      </w:pPr>
      <w:r w:rsidRPr="00FE38B9">
        <w:t>Show examples relevant to teen creators (e.g., digital sharing, remixing).</w:t>
      </w:r>
    </w:p>
    <w:p w14:paraId="2F4EA830" w14:textId="3017B8A6" w:rsidR="00FE38B9" w:rsidRPr="00FE38B9" w:rsidRDefault="00BB6CCE" w:rsidP="00650484">
      <w:pPr>
        <w:pStyle w:val="ListParagraph"/>
        <w:numPr>
          <w:ilvl w:val="0"/>
          <w:numId w:val="13"/>
        </w:numPr>
      </w:pPr>
      <w:r w:rsidRPr="00FE38B9">
        <w:t>Offer recommendations for how the Studio could support artists (e.g., workshops, template licenses, registration guidance).</w:t>
      </w:r>
    </w:p>
    <w:p w14:paraId="4E07C93C" w14:textId="779703FD" w:rsidR="000C0470" w:rsidRPr="00FE38B9" w:rsidRDefault="00BB6CCE" w:rsidP="00650484">
      <w:r w:rsidRPr="00FE38B9">
        <w:t>This project directly connects to my Technical &amp; Scientific Communication studies: I will translate complex legal information into clear, actionable guidance for a non-expert audience.</w:t>
      </w:r>
    </w:p>
    <w:p w14:paraId="4EC9A248" w14:textId="77777777" w:rsidR="00CA32C6" w:rsidRDefault="00CA32C6">
      <w:pPr>
        <w:rPr>
          <w:rFonts w:eastAsiaTheme="majorEastAsia" w:cstheme="majorBidi"/>
          <w:b/>
          <w:bCs/>
          <w:color w:val="861F41" w:themeColor="accent1"/>
          <w:sz w:val="36"/>
          <w:szCs w:val="36"/>
        </w:rPr>
      </w:pPr>
      <w:r>
        <w:br w:type="page"/>
      </w:r>
    </w:p>
    <w:p w14:paraId="1BBFDDFD" w14:textId="3015C8EB" w:rsidR="000C0470" w:rsidRDefault="00BB6CCE" w:rsidP="00F36353">
      <w:pPr>
        <w:pStyle w:val="Heading2"/>
      </w:pPr>
      <w:r w:rsidRPr="00FE38B9">
        <w:t>Literature Review &amp; Source Identification</w:t>
      </w:r>
    </w:p>
    <w:p w14:paraId="6BAFA685" w14:textId="42C6F71B" w:rsidR="00450B17" w:rsidRPr="00450B17" w:rsidRDefault="00450B17" w:rsidP="00CA32C6">
      <w:pPr>
        <w:pStyle w:val="Heading3"/>
      </w:pPr>
      <w:r w:rsidRPr="00450B17">
        <w:t xml:space="preserve">1. </w:t>
      </w:r>
      <w:r w:rsidR="00CA32C6" w:rsidRPr="00650484">
        <w:t>U.S. Copyright Office, “</w:t>
      </w:r>
      <w:hyperlink r:id="rId8" w:history="1">
        <w:r w:rsidR="00CA32C6" w:rsidRPr="00650484">
          <w:rPr>
            <w:rStyle w:val="Hyperlink"/>
            <w:b w:val="0"/>
            <w:bCs w:val="0"/>
          </w:rPr>
          <w:t>Copyright Basics</w:t>
        </w:r>
      </w:hyperlink>
      <w:r w:rsidR="00CA32C6" w:rsidRPr="00650484">
        <w:t>” (Circular 1, 2021)</w:t>
      </w:r>
    </w:p>
    <w:p w14:paraId="4C941EEC" w14:textId="77777777" w:rsidR="00450B17" w:rsidRPr="00450B17" w:rsidRDefault="00450B17" w:rsidP="00CA32C6">
      <w:pPr>
        <w:ind w:left="720"/>
      </w:pPr>
      <w:r w:rsidRPr="00450B17">
        <w:rPr>
          <w:b/>
          <w:bCs/>
        </w:rPr>
        <w:t xml:space="preserve">Summary: </w:t>
      </w:r>
      <w:r w:rsidRPr="00450B17">
        <w:t>Explains what copyright is, what it protects, duration, and exclusive rights.</w:t>
      </w:r>
    </w:p>
    <w:p w14:paraId="69731F12" w14:textId="77777777" w:rsidR="00450B17" w:rsidRPr="00450B17" w:rsidRDefault="00450B17" w:rsidP="00CA32C6">
      <w:pPr>
        <w:ind w:left="720"/>
        <w:rPr>
          <w:b/>
          <w:bCs/>
        </w:rPr>
      </w:pPr>
      <w:r w:rsidRPr="00450B17">
        <w:rPr>
          <w:b/>
          <w:bCs/>
        </w:rPr>
        <w:t>Excerpts &amp; Context:</w:t>
      </w:r>
    </w:p>
    <w:p w14:paraId="007BDF7E" w14:textId="261C00B4" w:rsidR="00450B17" w:rsidRPr="00450B17" w:rsidRDefault="00450B17" w:rsidP="00CA32C6">
      <w:pPr>
        <w:pStyle w:val="ListParagraph"/>
        <w:numPr>
          <w:ilvl w:val="0"/>
          <w:numId w:val="19"/>
        </w:numPr>
        <w:contextualSpacing w:val="0"/>
      </w:pPr>
      <w:r w:rsidRPr="00450B17">
        <w:t>“Copyright is a form of protection grounded in the U.S. Constitution and granted by law for original works of authorship fixed in a tangible medium of expression.” (Context: Intro definition in Circular 1; establishes the legal foundation.)</w:t>
      </w:r>
    </w:p>
    <w:p w14:paraId="2B39921B" w14:textId="16A6F2D7" w:rsidR="00450B17" w:rsidRPr="00450B17" w:rsidRDefault="00450B17" w:rsidP="00CA32C6">
      <w:pPr>
        <w:pStyle w:val="ListParagraph"/>
        <w:numPr>
          <w:ilvl w:val="0"/>
          <w:numId w:val="19"/>
        </w:numPr>
      </w:pPr>
      <w:r w:rsidRPr="00450B17">
        <w:t>“The copyright owner has the exclusive rights to reproduce the work, prepare derivative works, distribute copies, publicly perform the work, and display the work.” (Context: Section on rights granted; clarifies the scope of protections.)</w:t>
      </w:r>
    </w:p>
    <w:p w14:paraId="5AA6EB87" w14:textId="5952F0AE" w:rsidR="00450B17" w:rsidRPr="00450B17" w:rsidRDefault="00CA32C6" w:rsidP="00CA32C6">
      <w:pPr>
        <w:ind w:left="720"/>
      </w:pPr>
      <w:r w:rsidRPr="00CA32C6">
        <w:rPr>
          <w:b/>
          <w:bCs/>
        </w:rPr>
        <w:t>Contribution:</w:t>
      </w:r>
      <w:r w:rsidR="00450B17" w:rsidRPr="00450B17">
        <w:rPr>
          <w:b/>
          <w:bCs/>
        </w:rPr>
        <w:t xml:space="preserve"> </w:t>
      </w:r>
      <w:r w:rsidR="00450B17" w:rsidRPr="00450B17">
        <w:t>Will provide the core legal definitions and framework for the report.</w:t>
      </w:r>
    </w:p>
    <w:p w14:paraId="50A67797" w14:textId="7905AC3A" w:rsidR="00450B17" w:rsidRPr="00450B17" w:rsidRDefault="00450B17" w:rsidP="00CA32C6">
      <w:pPr>
        <w:pStyle w:val="Heading3"/>
      </w:pPr>
      <w:r w:rsidRPr="00450B17">
        <w:t xml:space="preserve">2. </w:t>
      </w:r>
      <w:r w:rsidR="00CA32C6" w:rsidRPr="00650484">
        <w:t>Creative Commons, “</w:t>
      </w:r>
      <w:hyperlink r:id="rId9" w:history="1">
        <w:r w:rsidR="00CA32C6" w:rsidRPr="00650484">
          <w:rPr>
            <w:rStyle w:val="Hyperlink"/>
            <w:b w:val="0"/>
            <w:bCs w:val="0"/>
          </w:rPr>
          <w:t xml:space="preserve">About </w:t>
        </w:r>
        <w:proofErr w:type="gramStart"/>
        <w:r w:rsidR="00CA32C6" w:rsidRPr="00650484">
          <w:rPr>
            <w:rStyle w:val="Hyperlink"/>
            <w:b w:val="0"/>
            <w:bCs w:val="0"/>
          </w:rPr>
          <w:t>The</w:t>
        </w:r>
        <w:proofErr w:type="gramEnd"/>
        <w:r w:rsidR="00CA32C6" w:rsidRPr="00650484">
          <w:rPr>
            <w:rStyle w:val="Hyperlink"/>
            <w:b w:val="0"/>
            <w:bCs w:val="0"/>
          </w:rPr>
          <w:t xml:space="preserve"> Licenses</w:t>
        </w:r>
      </w:hyperlink>
      <w:r w:rsidR="00CA32C6" w:rsidRPr="00650484">
        <w:t>”</w:t>
      </w:r>
    </w:p>
    <w:p w14:paraId="1D46C069" w14:textId="41B4CFB0" w:rsidR="00450B17" w:rsidRPr="00450B17" w:rsidRDefault="00CA32C6" w:rsidP="00CA32C6">
      <w:pPr>
        <w:ind w:left="720"/>
      </w:pPr>
      <w:r w:rsidRPr="00CA32C6">
        <w:rPr>
          <w:b/>
        </w:rPr>
        <w:t xml:space="preserve">Summary: </w:t>
      </w:r>
      <w:r w:rsidR="00450B17" w:rsidRPr="00450B17">
        <w:t>Explains six CC license types and their conditions.</w:t>
      </w:r>
    </w:p>
    <w:p w14:paraId="3E504CD8" w14:textId="3A76192E" w:rsidR="00450B17" w:rsidRPr="00450B17" w:rsidRDefault="00CA32C6" w:rsidP="00CA32C6">
      <w:pPr>
        <w:ind w:left="720"/>
      </w:pPr>
      <w:r w:rsidRPr="00CA32C6">
        <w:rPr>
          <w:b/>
        </w:rPr>
        <w:t>Excerpts &amp; Context:</w:t>
      </w:r>
    </w:p>
    <w:p w14:paraId="29A0C600" w14:textId="1B3E90B6" w:rsidR="00450B17" w:rsidRPr="00450B17" w:rsidRDefault="00450B17" w:rsidP="00CA32C6">
      <w:pPr>
        <w:pStyle w:val="ListParagraph"/>
        <w:numPr>
          <w:ilvl w:val="0"/>
          <w:numId w:val="19"/>
        </w:numPr>
        <w:contextualSpacing w:val="0"/>
      </w:pPr>
      <w:r w:rsidRPr="00450B17">
        <w:t>“Creative Commons licenses enable creators to retain copyright while allowing others to copy, distribute, and make some uses of their work — at least non-commercially.” (Context: Intro page; explains the overall purpose of CC.)</w:t>
      </w:r>
    </w:p>
    <w:p w14:paraId="17D8A513" w14:textId="5F33BDA3" w:rsidR="00450B17" w:rsidRPr="00450B17" w:rsidRDefault="00450B17" w:rsidP="00CA32C6">
      <w:pPr>
        <w:pStyle w:val="ListParagraph"/>
        <w:numPr>
          <w:ilvl w:val="0"/>
          <w:numId w:val="19"/>
        </w:numPr>
        <w:contextualSpacing w:val="0"/>
      </w:pPr>
      <w:r w:rsidRPr="00450B17">
        <w:t>“The licenses let creators communicate which rights they reserve, and which rights they waive for the benefit of recipients or other creators.” (Context: License overview; shows flexibility and creator choice.)</w:t>
      </w:r>
    </w:p>
    <w:p w14:paraId="6D4190C8" w14:textId="01595B41" w:rsidR="00450B17" w:rsidRDefault="00CA32C6" w:rsidP="00CA32C6">
      <w:pPr>
        <w:ind w:left="720"/>
      </w:pPr>
      <w:r w:rsidRPr="00CA32C6">
        <w:rPr>
          <w:b/>
        </w:rPr>
        <w:t>Contribution:</w:t>
      </w:r>
      <w:r w:rsidR="00450B17" w:rsidRPr="00450B17">
        <w:t xml:space="preserve"> Essential for comparing CC licenses and explaining options for teen artists.</w:t>
      </w:r>
    </w:p>
    <w:p w14:paraId="7B274824" w14:textId="77777777" w:rsidR="00CA32C6" w:rsidRDefault="00450B17" w:rsidP="00CA32C6">
      <w:pPr>
        <w:pStyle w:val="Heading3"/>
      </w:pPr>
      <w:r w:rsidRPr="00450B17">
        <w:t xml:space="preserve">3. </w:t>
      </w:r>
      <w:r w:rsidR="00CA32C6" w:rsidRPr="00650484">
        <w:t>Artists Rights Society, “</w:t>
      </w:r>
      <w:hyperlink r:id="rId10" w:history="1">
        <w:r w:rsidR="00CA32C6" w:rsidRPr="00650484">
          <w:rPr>
            <w:rStyle w:val="Hyperlink"/>
            <w:b w:val="0"/>
            <w:bCs w:val="0"/>
          </w:rPr>
          <w:t>Artists Rights 101</w:t>
        </w:r>
      </w:hyperlink>
      <w:r w:rsidR="00CA32C6" w:rsidRPr="00650484">
        <w:t>”</w:t>
      </w:r>
    </w:p>
    <w:p w14:paraId="796CBCCA" w14:textId="7164F0A2" w:rsidR="00450B17" w:rsidRPr="00450B17" w:rsidRDefault="00CA32C6" w:rsidP="00CA32C6">
      <w:pPr>
        <w:ind w:left="720"/>
      </w:pPr>
      <w:r w:rsidRPr="00CA32C6">
        <w:rPr>
          <w:b/>
        </w:rPr>
        <w:t xml:space="preserve">Summary: </w:t>
      </w:r>
      <w:r w:rsidR="00450B17" w:rsidRPr="00450B17">
        <w:t xml:space="preserve">Explains </w:t>
      </w:r>
      <w:proofErr w:type="gramStart"/>
      <w:r w:rsidR="00450B17" w:rsidRPr="00450B17">
        <w:t>artist</w:t>
      </w:r>
      <w:proofErr w:type="gramEnd"/>
      <w:r w:rsidR="00450B17" w:rsidRPr="00450B17">
        <w:t xml:space="preserve"> rights under copyright law, moral rights, resale rights.</w:t>
      </w:r>
    </w:p>
    <w:p w14:paraId="5B937AE1" w14:textId="1E2394B9" w:rsidR="00450B17" w:rsidRPr="00450B17" w:rsidRDefault="00CA32C6" w:rsidP="00CA32C6">
      <w:pPr>
        <w:ind w:left="720"/>
      </w:pPr>
      <w:r w:rsidRPr="00CA32C6">
        <w:rPr>
          <w:b/>
        </w:rPr>
        <w:t>Excerpts &amp; Context:</w:t>
      </w:r>
    </w:p>
    <w:p w14:paraId="43DE005A" w14:textId="4949DA1F" w:rsidR="00450B17" w:rsidRPr="00450B17" w:rsidRDefault="00450B17" w:rsidP="00CA32C6">
      <w:pPr>
        <w:pStyle w:val="ListParagraph"/>
        <w:numPr>
          <w:ilvl w:val="0"/>
          <w:numId w:val="19"/>
        </w:numPr>
        <w:contextualSpacing w:val="0"/>
      </w:pPr>
      <w:r w:rsidRPr="00450B17">
        <w:t>“Artists retain the copyright to their work unless they have transferred it in writing.” (Context: Copyright basics section; confirms automatic rights.)</w:t>
      </w:r>
    </w:p>
    <w:p w14:paraId="36C044C7" w14:textId="108DB86F" w:rsidR="00450B17" w:rsidRPr="00450B17" w:rsidRDefault="00450B17" w:rsidP="00CA32C6">
      <w:pPr>
        <w:pStyle w:val="ListParagraph"/>
        <w:numPr>
          <w:ilvl w:val="0"/>
          <w:numId w:val="19"/>
        </w:numPr>
        <w:contextualSpacing w:val="0"/>
      </w:pPr>
      <w:r w:rsidRPr="00450B17">
        <w:t>“Moral rights include the right of attribution and the right of integrity — to prevent intentional distortion of a work.” (Context: Moral rights section; introduces non-economic rights.)</w:t>
      </w:r>
    </w:p>
    <w:p w14:paraId="091B5618" w14:textId="35CD2794" w:rsidR="00450B17" w:rsidRPr="00450B17" w:rsidRDefault="00CA32C6" w:rsidP="00CA32C6">
      <w:pPr>
        <w:ind w:left="720"/>
      </w:pPr>
      <w:r w:rsidRPr="00CA32C6">
        <w:rPr>
          <w:b/>
        </w:rPr>
        <w:lastRenderedPageBreak/>
        <w:t>Contribution:</w:t>
      </w:r>
      <w:r w:rsidR="00450B17" w:rsidRPr="00450B17">
        <w:t xml:space="preserve"> Provides accessible but authoritative explanations tailored to artists, helpful for non-expert readers.</w:t>
      </w:r>
    </w:p>
    <w:p w14:paraId="78C29B5A" w14:textId="2195A60A" w:rsidR="00450B17" w:rsidRPr="00450B17" w:rsidRDefault="00450B17" w:rsidP="00CA32C6">
      <w:pPr>
        <w:pStyle w:val="Heading3"/>
      </w:pPr>
      <w:r w:rsidRPr="00450B17">
        <w:t xml:space="preserve">4. </w:t>
      </w:r>
      <w:r w:rsidR="00CA32C6" w:rsidRPr="00650484">
        <w:t>Rowan University Libraries, “</w:t>
      </w:r>
      <w:hyperlink r:id="rId11" w:history="1">
        <w:r w:rsidR="00CA32C6" w:rsidRPr="00650484">
          <w:rPr>
            <w:rStyle w:val="Hyperlink"/>
            <w:b w:val="0"/>
            <w:bCs w:val="0"/>
          </w:rPr>
          <w:t>Open Licensing: Introduction to Creative Commons Licenses</w:t>
        </w:r>
      </w:hyperlink>
    </w:p>
    <w:p w14:paraId="5CCEB438" w14:textId="1B833DA2" w:rsidR="00450B17" w:rsidRPr="00450B17" w:rsidRDefault="00CA32C6" w:rsidP="00CA32C6">
      <w:pPr>
        <w:ind w:left="720"/>
      </w:pPr>
      <w:r w:rsidRPr="00CA32C6">
        <w:rPr>
          <w:b/>
        </w:rPr>
        <w:t xml:space="preserve">Summary: </w:t>
      </w:r>
      <w:r w:rsidR="00450B17" w:rsidRPr="00450B17">
        <w:t>Workshop slides for explaining CC licenses and their use in education and creative contexts.</w:t>
      </w:r>
    </w:p>
    <w:p w14:paraId="00E4B12C" w14:textId="570B0D77" w:rsidR="00450B17" w:rsidRPr="00450B17" w:rsidRDefault="00CA32C6" w:rsidP="00CA32C6">
      <w:pPr>
        <w:ind w:left="720"/>
      </w:pPr>
      <w:r w:rsidRPr="00CA32C6">
        <w:rPr>
          <w:b/>
        </w:rPr>
        <w:t>Excerpts &amp; Context:</w:t>
      </w:r>
    </w:p>
    <w:p w14:paraId="606D9CE1" w14:textId="22E2B4FB" w:rsidR="00450B17" w:rsidRPr="00450B17" w:rsidRDefault="00450B17" w:rsidP="00CA32C6">
      <w:pPr>
        <w:pStyle w:val="ListParagraph"/>
        <w:numPr>
          <w:ilvl w:val="0"/>
          <w:numId w:val="19"/>
        </w:numPr>
        <w:contextualSpacing w:val="0"/>
      </w:pPr>
      <w:r w:rsidRPr="00450B17">
        <w:t>“CC licenses are standardized and easy to apply, but creators must select carefully: NC (non-commercial) and ND (no derivatives) can restrict sharing.” (Context: Workshop slide on license options; cautions about restrictions.)</w:t>
      </w:r>
    </w:p>
    <w:p w14:paraId="682850E8" w14:textId="40751D54" w:rsidR="00450B17" w:rsidRPr="00450B17" w:rsidRDefault="00450B17" w:rsidP="00CA32C6">
      <w:pPr>
        <w:pStyle w:val="ListParagraph"/>
        <w:numPr>
          <w:ilvl w:val="0"/>
          <w:numId w:val="19"/>
        </w:numPr>
        <w:contextualSpacing w:val="0"/>
      </w:pPr>
      <w:r w:rsidRPr="00450B17">
        <w:t xml:space="preserve">“Attribution is the foundation of every Creative Commons license.” (Context: Core </w:t>
      </w:r>
      <w:proofErr w:type="gramStart"/>
      <w:r w:rsidRPr="00450B17">
        <w:t>principle</w:t>
      </w:r>
      <w:proofErr w:type="gramEnd"/>
      <w:r w:rsidRPr="00450B17">
        <w:t xml:space="preserve"> slide; emphasizes attribution as universal requirement.)</w:t>
      </w:r>
    </w:p>
    <w:p w14:paraId="6DB4D288" w14:textId="74C96CDE" w:rsidR="00450B17" w:rsidRPr="00450B17" w:rsidRDefault="00CA32C6" w:rsidP="00CA32C6">
      <w:pPr>
        <w:ind w:left="720"/>
      </w:pPr>
      <w:r w:rsidRPr="00CA32C6">
        <w:rPr>
          <w:b/>
        </w:rPr>
        <w:t>Contribution:</w:t>
      </w:r>
      <w:r w:rsidR="00450B17" w:rsidRPr="00450B17">
        <w:t xml:space="preserve"> Practical, instructional resource that models how to explain CC in plain language.</w:t>
      </w:r>
    </w:p>
    <w:p w14:paraId="4CFDAE15" w14:textId="5F6287CD" w:rsidR="00450B17" w:rsidRPr="00450B17" w:rsidRDefault="00450B17" w:rsidP="00CA32C6">
      <w:pPr>
        <w:pStyle w:val="Heading3"/>
      </w:pPr>
      <w:r w:rsidRPr="00450B17">
        <w:t>5.</w:t>
      </w:r>
      <w:r w:rsidR="00CA32C6" w:rsidRPr="00CA32C6">
        <w:t xml:space="preserve"> </w:t>
      </w:r>
      <w:r w:rsidR="00CA32C6" w:rsidRPr="00650484">
        <w:t>Springer, “</w:t>
      </w:r>
      <w:hyperlink r:id="rId12" w:history="1">
        <w:r w:rsidR="00CA32C6" w:rsidRPr="00650484">
          <w:rPr>
            <w:rStyle w:val="Hyperlink"/>
            <w:b w:val="0"/>
            <w:bCs w:val="0"/>
          </w:rPr>
          <w:t>Digital Dilemmas: Attending to Art Ownership and Copyright in Youth</w:t>
        </w:r>
      </w:hyperlink>
      <w:r w:rsidR="00CA32C6" w:rsidRPr="00650484">
        <w:t>” (2024)</w:t>
      </w:r>
    </w:p>
    <w:p w14:paraId="3B0C2D14" w14:textId="75594374" w:rsidR="00450B17" w:rsidRPr="00450B17" w:rsidRDefault="00CA32C6" w:rsidP="00CA32C6">
      <w:pPr>
        <w:ind w:left="720"/>
      </w:pPr>
      <w:r w:rsidRPr="00CA32C6">
        <w:rPr>
          <w:b/>
        </w:rPr>
        <w:t xml:space="preserve">Summary: </w:t>
      </w:r>
      <w:r w:rsidR="00450B17" w:rsidRPr="00450B17">
        <w:t>Academic study on how young people navigate copyright and ownership in digital art contexts.</w:t>
      </w:r>
    </w:p>
    <w:p w14:paraId="5D2A1CC0" w14:textId="363BCECC" w:rsidR="00450B17" w:rsidRPr="00450B17" w:rsidRDefault="00CA32C6" w:rsidP="00CA32C6">
      <w:pPr>
        <w:ind w:left="720"/>
      </w:pPr>
      <w:r w:rsidRPr="00CA32C6">
        <w:rPr>
          <w:b/>
        </w:rPr>
        <w:t>Excerpts &amp; Context:</w:t>
      </w:r>
    </w:p>
    <w:p w14:paraId="339DCC57" w14:textId="79FF1609" w:rsidR="00450B17" w:rsidRPr="00450B17" w:rsidRDefault="00450B17" w:rsidP="00CA32C6">
      <w:pPr>
        <w:pStyle w:val="ListParagraph"/>
        <w:numPr>
          <w:ilvl w:val="0"/>
          <w:numId w:val="19"/>
        </w:numPr>
        <w:contextualSpacing w:val="0"/>
      </w:pPr>
      <w:r w:rsidRPr="00450B17">
        <w:t>“Many young artists simultaneously want recognition for their work and the freedom to remix others’ creations.” (Context: Findings section; reflects youth attitudes toward intellectual property.)</w:t>
      </w:r>
    </w:p>
    <w:p w14:paraId="47B4F03C" w14:textId="1AAF783B" w:rsidR="00450B17" w:rsidRPr="00450B17" w:rsidRDefault="00450B17" w:rsidP="00CA32C6">
      <w:pPr>
        <w:pStyle w:val="ListParagraph"/>
        <w:numPr>
          <w:ilvl w:val="0"/>
          <w:numId w:val="19"/>
        </w:numPr>
        <w:contextualSpacing w:val="0"/>
      </w:pPr>
      <w:r w:rsidRPr="00450B17">
        <w:t>“Ambivalence about copyright among youth is tied to their participation in online sharing cultures.” (Context: Discussion section; highlights cultural reasons for uncertainty.)</w:t>
      </w:r>
    </w:p>
    <w:p w14:paraId="03710458" w14:textId="53F8DCBD" w:rsidR="00450B17" w:rsidRPr="00450B17" w:rsidRDefault="00CA32C6" w:rsidP="00CA32C6">
      <w:pPr>
        <w:ind w:left="720"/>
      </w:pPr>
      <w:r w:rsidRPr="00CA32C6">
        <w:rPr>
          <w:b/>
        </w:rPr>
        <w:t>Contribution:</w:t>
      </w:r>
      <w:r w:rsidR="00450B17" w:rsidRPr="00450B17">
        <w:t xml:space="preserve"> Provides case-study evidence and supports recommendations for education and policy.</w:t>
      </w:r>
    </w:p>
    <w:p w14:paraId="725EB825" w14:textId="77777777" w:rsidR="000C0470" w:rsidRPr="00FE38B9" w:rsidRDefault="00BB6CCE" w:rsidP="00F36353">
      <w:pPr>
        <w:pStyle w:val="Heading2"/>
      </w:pPr>
      <w:r w:rsidRPr="00FE38B9">
        <w:t>Project Audience</w:t>
      </w:r>
    </w:p>
    <w:p w14:paraId="3BBD3DE9" w14:textId="0B146688" w:rsidR="00FE38B9" w:rsidRDefault="00BB6CCE" w:rsidP="00650484">
      <w:r w:rsidRPr="00FE38B9">
        <w:t>The audience is the Board of Directors of the Teen Artists’ Studio—community members and arts administrators, but not legal experts. They need:</w:t>
      </w:r>
    </w:p>
    <w:p w14:paraId="3BBBCBED" w14:textId="17C18B88" w:rsidR="00FE38B9" w:rsidRDefault="00BB6CCE" w:rsidP="00650484">
      <w:pPr>
        <w:pStyle w:val="ListParagraph"/>
        <w:numPr>
          <w:ilvl w:val="0"/>
          <w:numId w:val="17"/>
        </w:numPr>
      </w:pPr>
      <w:r w:rsidRPr="00FE38B9">
        <w:t>Clear definitions of copyright and Creative Commons.</w:t>
      </w:r>
    </w:p>
    <w:p w14:paraId="28890461" w14:textId="036495CE" w:rsidR="00FE38B9" w:rsidRDefault="00BB6CCE" w:rsidP="00650484">
      <w:pPr>
        <w:pStyle w:val="ListParagraph"/>
        <w:numPr>
          <w:ilvl w:val="0"/>
          <w:numId w:val="17"/>
        </w:numPr>
      </w:pPr>
      <w:r w:rsidRPr="00FE38B9">
        <w:t>Explanations of rights already held by teen artists.</w:t>
      </w:r>
    </w:p>
    <w:p w14:paraId="7B8AB3F4" w14:textId="733E02D6" w:rsidR="00FE38B9" w:rsidRDefault="00BB6CCE" w:rsidP="00650484">
      <w:pPr>
        <w:pStyle w:val="ListParagraph"/>
        <w:numPr>
          <w:ilvl w:val="0"/>
          <w:numId w:val="17"/>
        </w:numPr>
      </w:pPr>
      <w:r w:rsidRPr="00FE38B9">
        <w:t>Comparison of CC license options (with visuals like a table).</w:t>
      </w:r>
    </w:p>
    <w:p w14:paraId="4896A27E" w14:textId="6C7625E1" w:rsidR="00FE38B9" w:rsidRDefault="00BB6CCE" w:rsidP="00650484">
      <w:pPr>
        <w:pStyle w:val="ListParagraph"/>
        <w:numPr>
          <w:ilvl w:val="0"/>
          <w:numId w:val="17"/>
        </w:numPr>
      </w:pPr>
      <w:r w:rsidRPr="00FE38B9">
        <w:lastRenderedPageBreak/>
        <w:t>Examples from other programs.</w:t>
      </w:r>
    </w:p>
    <w:p w14:paraId="4034F836" w14:textId="09F5B137" w:rsidR="00FE38B9" w:rsidRDefault="00BB6CCE" w:rsidP="00650484">
      <w:pPr>
        <w:pStyle w:val="ListParagraph"/>
        <w:numPr>
          <w:ilvl w:val="0"/>
          <w:numId w:val="17"/>
        </w:numPr>
      </w:pPr>
      <w:r w:rsidRPr="00FE38B9">
        <w:t>Actionable recommendations (e.g., artist workshops, Studio policy templates).</w:t>
      </w:r>
    </w:p>
    <w:p w14:paraId="36CB657B" w14:textId="4B230FD3" w:rsidR="000C0470" w:rsidRPr="00FE38B9" w:rsidRDefault="00BB6CCE" w:rsidP="00650484">
      <w:r w:rsidRPr="00FE38B9">
        <w:t>The report will emphasize clarity, use of visuals, and concise executive-style summaries.</w:t>
      </w:r>
    </w:p>
    <w:p w14:paraId="3400EF7C" w14:textId="71230FBC" w:rsidR="000C0470" w:rsidRPr="00FE38B9" w:rsidRDefault="00BB6CCE" w:rsidP="00F36353">
      <w:pPr>
        <w:pStyle w:val="Heading2"/>
      </w:pPr>
      <w:r w:rsidRPr="00FE38B9">
        <w:t>Project Personnel</w:t>
      </w:r>
    </w:p>
    <w:p w14:paraId="0D057420" w14:textId="77777777" w:rsidR="00FE38B9" w:rsidRDefault="00BB6CCE" w:rsidP="00650484">
      <w:r w:rsidRPr="00FE38B9">
        <w:t>As a Technical &amp; Scientific Communication major, I am well prepared for this project. My coursework includes document design, information development, and legal/ethical issues in communication. I also have experience volunteering in youth arts outreach, which gave me insight into the challenges young artists face when sharing work online.</w:t>
      </w:r>
    </w:p>
    <w:p w14:paraId="22F02CAF" w14:textId="7556D5FD" w:rsidR="000C0470" w:rsidRPr="00FE38B9" w:rsidRDefault="00BB6CCE" w:rsidP="00650484">
      <w:r w:rsidRPr="00FE38B9">
        <w:t>I will devote 8</w:t>
      </w:r>
      <w:r w:rsidR="00FE38B9">
        <w:t>–</w:t>
      </w:r>
      <w:r w:rsidRPr="00FE38B9">
        <w:t>10 hours per week to the project, using university library databases, government/legal resources, and nonprofit guides.</w:t>
      </w:r>
    </w:p>
    <w:p w14:paraId="72EEF7BC" w14:textId="77777777" w:rsidR="000C0470" w:rsidRPr="00F36353" w:rsidRDefault="00BB6CCE" w:rsidP="00F36353">
      <w:pPr>
        <w:pStyle w:val="Heading2"/>
      </w:pPr>
      <w:r w:rsidRPr="00F36353">
        <w:t>Project Timetable</w:t>
      </w:r>
    </w:p>
    <w:p w14:paraId="39860068" w14:textId="435484CB" w:rsidR="00650484" w:rsidRDefault="00F9220B" w:rsidP="00650484">
      <w:pPr>
        <w:rPr>
          <w:noProof/>
        </w:rPr>
      </w:pPr>
      <w:r>
        <w:rPr>
          <w:noProof/>
        </w:rPr>
        <w:t xml:space="preserve">I </w:t>
      </w:r>
      <w:r w:rsidR="00CA32C6">
        <w:rPr>
          <w:noProof/>
        </w:rPr>
        <w:t>will</w:t>
      </w:r>
      <w:r>
        <w:rPr>
          <w:noProof/>
        </w:rPr>
        <w:t xml:space="preserve"> spend approximately </w:t>
      </w:r>
      <w:r w:rsidR="00450B17">
        <w:rPr>
          <w:noProof/>
        </w:rPr>
        <w:t>a month working on this report, as shown in the Gantt Chart below:</w:t>
      </w:r>
    </w:p>
    <w:p w14:paraId="61CC6ED3" w14:textId="37190DE9" w:rsidR="00CF1A39" w:rsidRDefault="008A24BF" w:rsidP="00CA32C6">
      <w:pPr>
        <w:spacing w:line="240" w:lineRule="auto"/>
        <w:jc w:val="center"/>
      </w:pPr>
      <w:r>
        <w:rPr>
          <w:noProof/>
        </w:rPr>
        <w:drawing>
          <wp:inline distT="0" distB="0" distL="0" distR="0" wp14:anchorId="5737673B" wp14:editId="6DDFA3E0">
            <wp:extent cx="5800725" cy="2857500"/>
            <wp:effectExtent l="0" t="0" r="9525" b="0"/>
            <wp:docPr id="62250089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35179D" w14:textId="3BA1CB49" w:rsidR="00450B17" w:rsidRPr="00450B17" w:rsidRDefault="00450B17" w:rsidP="00450B17">
      <w:pPr>
        <w:spacing w:after="0"/>
        <w:rPr>
          <w:i/>
          <w:iCs/>
        </w:rPr>
      </w:pPr>
      <w:r w:rsidRPr="00450B17">
        <w:rPr>
          <w:i/>
          <w:iCs/>
        </w:rPr>
        <w:t>Figure 1: Gantt Chart for Informational Report</w:t>
      </w:r>
    </w:p>
    <w:p w14:paraId="4DA14A43" w14:textId="77777777" w:rsidR="000C0470" w:rsidRPr="00FE38B9" w:rsidRDefault="00BB6CCE" w:rsidP="00F36353">
      <w:pPr>
        <w:pStyle w:val="Heading2"/>
      </w:pPr>
      <w:r w:rsidRPr="00FE38B9">
        <w:t>Request for Approval</w:t>
      </w:r>
    </w:p>
    <w:p w14:paraId="376F7978" w14:textId="77777777" w:rsidR="00FE38B9" w:rsidRDefault="00BB6CCE" w:rsidP="00650484">
      <w:r w:rsidRPr="00FE38B9">
        <w:t>I request approval to research and prepare this informational report for the Teen Artists’ Studio Board. This project addresses a real need: helping young artists understand copyright and licensing so their creativity is protected and shared appropriately.</w:t>
      </w:r>
    </w:p>
    <w:p w14:paraId="4EDF206E" w14:textId="77777777" w:rsidR="00FE38B9" w:rsidRDefault="00BB6CCE" w:rsidP="00650484">
      <w:r w:rsidRPr="00FE38B9">
        <w:t>Please let me know if you have suggestions on narrowing scope, additional sources, or audience needs.</w:t>
      </w:r>
    </w:p>
    <w:p w14:paraId="33F0DB51" w14:textId="0EA53D84" w:rsidR="00FE38B9" w:rsidRDefault="00BB6CCE" w:rsidP="00650484">
      <w:r w:rsidRPr="00FE38B9">
        <w:lastRenderedPageBreak/>
        <w:t xml:space="preserve">Contact: </w:t>
      </w:r>
      <w:hyperlink r:id="rId14" w:history="1">
        <w:r w:rsidR="00CA32C6">
          <w:rPr>
            <w:rStyle w:val="Hyperlink"/>
          </w:rPr>
          <w:t>jane.doe@vt.edu</w:t>
        </w:r>
      </w:hyperlink>
      <w:r w:rsidRPr="00FE38B9">
        <w:t xml:space="preserve"> | (555)-123-4567</w:t>
      </w:r>
    </w:p>
    <w:p w14:paraId="6BA26523" w14:textId="77777777" w:rsidR="00CA32C6" w:rsidRDefault="00CA32C6" w:rsidP="00650484"/>
    <w:p w14:paraId="671427C1" w14:textId="77777777" w:rsidR="00CA32C6" w:rsidRDefault="00CA32C6" w:rsidP="00650484">
      <w:pPr>
        <w:rPr>
          <w:rFonts w:eastAsiaTheme="majorEastAsia" w:cstheme="majorBidi"/>
          <w:b/>
          <w:bCs/>
          <w:color w:val="861F41" w:themeColor="accent1"/>
          <w:sz w:val="26"/>
          <w:szCs w:val="26"/>
        </w:rPr>
      </w:pPr>
    </w:p>
    <w:p w14:paraId="149BAEBB" w14:textId="1F5C5335" w:rsidR="000C0470" w:rsidRPr="00FE38B9" w:rsidRDefault="00BB6CCE" w:rsidP="00F36353">
      <w:pPr>
        <w:pStyle w:val="Heading2"/>
      </w:pPr>
      <w:r w:rsidRPr="00FE38B9">
        <w:t>Works Cited</w:t>
      </w:r>
    </w:p>
    <w:p w14:paraId="3026FE6E" w14:textId="23534406" w:rsidR="00FE38B9" w:rsidRDefault="00BB6CCE" w:rsidP="00650484">
      <w:r w:rsidRPr="00FE38B9">
        <w:t>C</w:t>
      </w:r>
      <w:r w:rsidRPr="00FE38B9">
        <w:t xml:space="preserve">reative Commons. About the Licenses. </w:t>
      </w:r>
      <w:hyperlink r:id="rId15" w:history="1">
        <w:r w:rsidRPr="00450B17">
          <w:rPr>
            <w:rStyle w:val="Hyperlink"/>
          </w:rPr>
          <w:t>https://creative</w:t>
        </w:r>
        <w:r w:rsidRPr="00450B17">
          <w:rPr>
            <w:rStyle w:val="Hyperlink"/>
          </w:rPr>
          <w:t>c</w:t>
        </w:r>
        <w:r w:rsidRPr="00450B17">
          <w:rPr>
            <w:rStyle w:val="Hyperlink"/>
          </w:rPr>
          <w:t>ommons.org/licenses/</w:t>
        </w:r>
      </w:hyperlink>
    </w:p>
    <w:p w14:paraId="68EE20A5" w14:textId="25E1DC11" w:rsidR="00FE38B9" w:rsidRDefault="00BB6CCE" w:rsidP="00650484">
      <w:r w:rsidRPr="00FE38B9">
        <w:t xml:space="preserve">U.S. Copyright Office. Copyright Basics. Circular 1. 2021. </w:t>
      </w:r>
      <w:hyperlink r:id="rId16" w:history="1">
        <w:r w:rsidRPr="00450B17">
          <w:rPr>
            <w:rStyle w:val="Hyperlink"/>
          </w:rPr>
          <w:t>https://www.copyright.gov/circs/circ01.pdf</w:t>
        </w:r>
      </w:hyperlink>
    </w:p>
    <w:p w14:paraId="1D7C42D9" w14:textId="657F820F" w:rsidR="00FE38B9" w:rsidRDefault="00BB6CCE" w:rsidP="00650484">
      <w:r w:rsidRPr="00FE38B9">
        <w:t xml:space="preserve">Artists Rights Society. Artists Rights 101. </w:t>
      </w:r>
      <w:hyperlink r:id="rId17" w:history="1">
        <w:r w:rsidRPr="00450B17">
          <w:rPr>
            <w:rStyle w:val="Hyperlink"/>
          </w:rPr>
          <w:t>https://arsny.com/artists-rights-101/</w:t>
        </w:r>
      </w:hyperlink>
    </w:p>
    <w:p w14:paraId="51E09537" w14:textId="3F81AE72" w:rsidR="00FE38B9" w:rsidRDefault="00BB6CCE" w:rsidP="00650484">
      <w:r w:rsidRPr="00FE38B9">
        <w:t xml:space="preserve">Rowan University Libraries. Open Licensing: Introduction to Creative Commons Licenses. </w:t>
      </w:r>
      <w:hyperlink r:id="rId18" w:history="1">
        <w:r w:rsidRPr="00450B17">
          <w:rPr>
            <w:rStyle w:val="Hyperlink"/>
          </w:rPr>
          <w:t>https://rdw.rowan.edu/libraryworkshops/12</w:t>
        </w:r>
      </w:hyperlink>
    </w:p>
    <w:p w14:paraId="338B05BD" w14:textId="5A0D90F1" w:rsidR="000C0470" w:rsidRPr="00FE38B9" w:rsidRDefault="00BB6CCE" w:rsidP="00650484">
      <w:r w:rsidRPr="00FE38B9">
        <w:t xml:space="preserve">Nørgård, Rikke Toft, et al. “Digital Dilemmas: Attending to Art Ownership and Copyright in Youth.” In Digital Aesthetics of the Future. Springer, 2024. </w:t>
      </w:r>
      <w:hyperlink r:id="rId19" w:history="1">
        <w:r w:rsidRPr="00450B17">
          <w:rPr>
            <w:rStyle w:val="Hyperlink"/>
          </w:rPr>
          <w:t>https://link.springer.com/chapter/10.1007/978-3-031-83541-4_8</w:t>
        </w:r>
      </w:hyperlink>
    </w:p>
    <w:sectPr w:rsidR="000C0470" w:rsidRPr="00FE38B9" w:rsidSect="00FE38B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E1078" w14:textId="77777777" w:rsidR="00BB6CCE" w:rsidRDefault="00BB6CCE" w:rsidP="00BB6CCE">
      <w:pPr>
        <w:spacing w:after="0" w:line="240" w:lineRule="auto"/>
      </w:pPr>
      <w:r>
        <w:separator/>
      </w:r>
    </w:p>
  </w:endnote>
  <w:endnote w:type="continuationSeparator" w:id="0">
    <w:p w14:paraId="553B7262" w14:textId="77777777" w:rsidR="00BB6CCE" w:rsidRDefault="00BB6CCE" w:rsidP="00BB6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0820275"/>
      <w:docPartObj>
        <w:docPartGallery w:val="Page Numbers (Bottom of Page)"/>
        <w:docPartUnique/>
      </w:docPartObj>
    </w:sdtPr>
    <w:sdtEndPr>
      <w:rPr>
        <w:noProof/>
      </w:rPr>
    </w:sdtEndPr>
    <w:sdtContent>
      <w:p w14:paraId="091530EF" w14:textId="7BC4BAEB" w:rsidR="00BB6CCE" w:rsidRDefault="00BB6C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7FCB72" w14:textId="77777777" w:rsidR="00BB6CCE" w:rsidRDefault="00BB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D20D8" w14:textId="77777777" w:rsidR="00BB6CCE" w:rsidRDefault="00BB6CCE" w:rsidP="00BB6CCE">
      <w:pPr>
        <w:spacing w:after="0" w:line="240" w:lineRule="auto"/>
      </w:pPr>
      <w:r>
        <w:separator/>
      </w:r>
    </w:p>
  </w:footnote>
  <w:footnote w:type="continuationSeparator" w:id="0">
    <w:p w14:paraId="7C3E64F9" w14:textId="77777777" w:rsidR="00BB6CCE" w:rsidRDefault="00BB6CCE" w:rsidP="00BB6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220317"/>
    <w:multiLevelType w:val="hybridMultilevel"/>
    <w:tmpl w:val="966C30B0"/>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A686D0F"/>
    <w:multiLevelType w:val="hybridMultilevel"/>
    <w:tmpl w:val="816206D0"/>
    <w:lvl w:ilvl="0" w:tplc="38E4CD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527A71"/>
    <w:multiLevelType w:val="hybridMultilevel"/>
    <w:tmpl w:val="1878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E83D4C"/>
    <w:multiLevelType w:val="hybridMultilevel"/>
    <w:tmpl w:val="C06A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38635F"/>
    <w:multiLevelType w:val="hybridMultilevel"/>
    <w:tmpl w:val="24C2B0EC"/>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D61F79"/>
    <w:multiLevelType w:val="hybridMultilevel"/>
    <w:tmpl w:val="5AD88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AB0C4C"/>
    <w:multiLevelType w:val="hybridMultilevel"/>
    <w:tmpl w:val="FBA473F6"/>
    <w:lvl w:ilvl="0" w:tplc="38E4CD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5A5445"/>
    <w:multiLevelType w:val="hybridMultilevel"/>
    <w:tmpl w:val="26AC2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4C5CE7"/>
    <w:multiLevelType w:val="hybridMultilevel"/>
    <w:tmpl w:val="9E522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021FA3"/>
    <w:multiLevelType w:val="hybridMultilevel"/>
    <w:tmpl w:val="758A9BE4"/>
    <w:lvl w:ilvl="0" w:tplc="38E4CD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E573E"/>
    <w:multiLevelType w:val="hybridMultilevel"/>
    <w:tmpl w:val="42182540"/>
    <w:lvl w:ilvl="0" w:tplc="38E4CD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8B1ABE"/>
    <w:multiLevelType w:val="hybridMultilevel"/>
    <w:tmpl w:val="A4DCFF12"/>
    <w:lvl w:ilvl="0" w:tplc="5D68BD66">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4C2C61"/>
    <w:multiLevelType w:val="hybridMultilevel"/>
    <w:tmpl w:val="695EB3E6"/>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1662F1"/>
    <w:multiLevelType w:val="hybridMultilevel"/>
    <w:tmpl w:val="01CA11CA"/>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5243805">
    <w:abstractNumId w:val="8"/>
  </w:num>
  <w:num w:numId="2" w16cid:durableId="2010984629">
    <w:abstractNumId w:val="6"/>
  </w:num>
  <w:num w:numId="3" w16cid:durableId="975720515">
    <w:abstractNumId w:val="5"/>
  </w:num>
  <w:num w:numId="4" w16cid:durableId="1498378812">
    <w:abstractNumId w:val="4"/>
  </w:num>
  <w:num w:numId="5" w16cid:durableId="614556579">
    <w:abstractNumId w:val="7"/>
  </w:num>
  <w:num w:numId="6" w16cid:durableId="1606812844">
    <w:abstractNumId w:val="3"/>
  </w:num>
  <w:num w:numId="7" w16cid:durableId="1524587921">
    <w:abstractNumId w:val="2"/>
  </w:num>
  <w:num w:numId="8" w16cid:durableId="40829818">
    <w:abstractNumId w:val="1"/>
  </w:num>
  <w:num w:numId="9" w16cid:durableId="460196066">
    <w:abstractNumId w:val="0"/>
  </w:num>
  <w:num w:numId="10" w16cid:durableId="708065890">
    <w:abstractNumId w:val="11"/>
  </w:num>
  <w:num w:numId="11" w16cid:durableId="1494490384">
    <w:abstractNumId w:val="18"/>
  </w:num>
  <w:num w:numId="12" w16cid:durableId="261190107">
    <w:abstractNumId w:val="15"/>
  </w:num>
  <w:num w:numId="13" w16cid:durableId="193351913">
    <w:abstractNumId w:val="16"/>
  </w:num>
  <w:num w:numId="14" w16cid:durableId="1635792495">
    <w:abstractNumId w:val="12"/>
  </w:num>
  <w:num w:numId="15" w16cid:durableId="294944621">
    <w:abstractNumId w:val="10"/>
  </w:num>
  <w:num w:numId="16" w16cid:durableId="1687906082">
    <w:abstractNumId w:val="19"/>
  </w:num>
  <w:num w:numId="17" w16cid:durableId="707876541">
    <w:abstractNumId w:val="17"/>
  </w:num>
  <w:num w:numId="18" w16cid:durableId="270211951">
    <w:abstractNumId w:val="14"/>
  </w:num>
  <w:num w:numId="19" w16cid:durableId="1747873273">
    <w:abstractNumId w:val="20"/>
  </w:num>
  <w:num w:numId="20" w16cid:durableId="585772121">
    <w:abstractNumId w:val="22"/>
  </w:num>
  <w:num w:numId="21" w16cid:durableId="1963222025">
    <w:abstractNumId w:val="21"/>
  </w:num>
  <w:num w:numId="22" w16cid:durableId="1364398554">
    <w:abstractNumId w:val="13"/>
  </w:num>
  <w:num w:numId="23" w16cid:durableId="1054618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470"/>
    <w:rsid w:val="0015074B"/>
    <w:rsid w:val="0029639D"/>
    <w:rsid w:val="00326F90"/>
    <w:rsid w:val="00450B17"/>
    <w:rsid w:val="00650484"/>
    <w:rsid w:val="008861A9"/>
    <w:rsid w:val="008A24BF"/>
    <w:rsid w:val="009E772D"/>
    <w:rsid w:val="00A24B04"/>
    <w:rsid w:val="00A971C7"/>
    <w:rsid w:val="00AA1D8D"/>
    <w:rsid w:val="00B47730"/>
    <w:rsid w:val="00BB6CCE"/>
    <w:rsid w:val="00CA32C6"/>
    <w:rsid w:val="00CB0664"/>
    <w:rsid w:val="00CF1A39"/>
    <w:rsid w:val="00F36353"/>
    <w:rsid w:val="00F9220B"/>
    <w:rsid w:val="00FC693F"/>
    <w:rsid w:val="00FE3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29654"/>
  <w14:defaultImageDpi w14:val="330"/>
  <w15:docId w15:val="{3A463932-C41F-4752-974A-203DA7E7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8B9"/>
    <w:rPr>
      <w:rFonts w:asciiTheme="majorHAnsi" w:hAnsiTheme="majorHAnsi" w:cstheme="majorHAnsi"/>
      <w:sz w:val="24"/>
      <w:szCs w:val="24"/>
    </w:rPr>
  </w:style>
  <w:style w:type="paragraph" w:styleId="Heading1">
    <w:name w:val="heading 1"/>
    <w:basedOn w:val="Normal"/>
    <w:next w:val="Normal"/>
    <w:link w:val="Heading1Char"/>
    <w:uiPriority w:val="9"/>
    <w:qFormat/>
    <w:rsid w:val="00FC693F"/>
    <w:pPr>
      <w:keepNext/>
      <w:keepLines/>
      <w:spacing w:before="480" w:after="0"/>
      <w:outlineLvl w:val="0"/>
    </w:pPr>
    <w:rPr>
      <w:rFonts w:eastAsiaTheme="majorEastAsia" w:cstheme="majorBidi"/>
      <w:b/>
      <w:bCs/>
      <w:color w:val="641730" w:themeColor="accent1" w:themeShade="BF"/>
      <w:sz w:val="28"/>
      <w:szCs w:val="28"/>
    </w:rPr>
  </w:style>
  <w:style w:type="paragraph" w:styleId="Heading2">
    <w:name w:val="heading 2"/>
    <w:basedOn w:val="Normal"/>
    <w:next w:val="Normal"/>
    <w:link w:val="Heading2Char"/>
    <w:uiPriority w:val="9"/>
    <w:unhideWhenUsed/>
    <w:qFormat/>
    <w:rsid w:val="00F36353"/>
    <w:pPr>
      <w:keepNext/>
      <w:keepLines/>
      <w:spacing w:before="200" w:after="0"/>
      <w:outlineLvl w:val="1"/>
    </w:pPr>
    <w:rPr>
      <w:rFonts w:eastAsiaTheme="majorEastAsia" w:cstheme="majorBidi"/>
      <w:b/>
      <w:bCs/>
      <w:color w:val="861F41" w:themeColor="accent1"/>
      <w:sz w:val="36"/>
      <w:szCs w:val="3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eastAsiaTheme="majorEastAsia" w:cstheme="majorBidi"/>
      <w:b/>
      <w:bCs/>
      <w:color w:val="861F41"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eastAsiaTheme="majorEastAsia" w:cstheme="majorBidi"/>
      <w:b/>
      <w:bCs/>
      <w:i/>
      <w:iCs/>
      <w:color w:val="861F41"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eastAsiaTheme="majorEastAsia" w:cstheme="majorBidi"/>
      <w:color w:val="420F2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eastAsiaTheme="majorEastAsia" w:cstheme="majorBidi"/>
      <w:i/>
      <w:iCs/>
      <w:color w:val="420F2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eastAsiaTheme="majorEastAsia" w:cstheme="majorBidi"/>
      <w:color w:val="861F41"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641730" w:themeColor="accent1" w:themeShade="BF"/>
      <w:sz w:val="28"/>
      <w:szCs w:val="28"/>
    </w:rPr>
  </w:style>
  <w:style w:type="character" w:customStyle="1" w:styleId="Heading2Char">
    <w:name w:val="Heading 2 Char"/>
    <w:basedOn w:val="DefaultParagraphFont"/>
    <w:link w:val="Heading2"/>
    <w:uiPriority w:val="9"/>
    <w:rsid w:val="00F36353"/>
    <w:rPr>
      <w:rFonts w:asciiTheme="majorHAnsi" w:eastAsiaTheme="majorEastAsia" w:hAnsiTheme="majorHAnsi" w:cstheme="majorBidi"/>
      <w:b/>
      <w:bCs/>
      <w:color w:val="861F41" w:themeColor="accent1"/>
      <w:sz w:val="36"/>
      <w:szCs w:val="3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861F41" w:themeColor="accent1"/>
    </w:rPr>
  </w:style>
  <w:style w:type="paragraph" w:styleId="Title">
    <w:name w:val="Title"/>
    <w:basedOn w:val="Normal"/>
    <w:next w:val="Normal"/>
    <w:link w:val="TitleChar"/>
    <w:uiPriority w:val="10"/>
    <w:qFormat/>
    <w:rsid w:val="00FC693F"/>
    <w:pPr>
      <w:pBdr>
        <w:bottom w:val="single" w:sz="8" w:space="4" w:color="861F41" w:themeColor="accent1"/>
      </w:pBdr>
      <w:spacing w:after="300" w:line="240" w:lineRule="auto"/>
      <w:contextualSpacing/>
    </w:pPr>
    <w:rPr>
      <w:rFonts w:eastAsiaTheme="majorEastAsia"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eastAsiaTheme="majorEastAsia" w:cstheme="majorBidi"/>
      <w:i/>
      <w:iCs/>
      <w:color w:val="861F41"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861F41"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861F41"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420F2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420F2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861F41"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861F41"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861F41" w:themeColor="accent1"/>
      </w:pBdr>
      <w:spacing w:before="200" w:after="280"/>
      <w:ind w:left="936" w:right="936"/>
    </w:pPr>
    <w:rPr>
      <w:b/>
      <w:bCs/>
      <w:i/>
      <w:iCs/>
      <w:color w:val="861F41" w:themeColor="accent1"/>
    </w:rPr>
  </w:style>
  <w:style w:type="character" w:customStyle="1" w:styleId="IntenseQuoteChar">
    <w:name w:val="Intense Quote Char"/>
    <w:basedOn w:val="DefaultParagraphFont"/>
    <w:link w:val="IntenseQuote"/>
    <w:uiPriority w:val="30"/>
    <w:rsid w:val="00FC693F"/>
    <w:rPr>
      <w:b/>
      <w:bCs/>
      <w:i/>
      <w:iCs/>
      <w:color w:val="861F41"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861F41" w:themeColor="accent1"/>
    </w:rPr>
  </w:style>
  <w:style w:type="character" w:styleId="SubtleReference">
    <w:name w:val="Subtle Reference"/>
    <w:basedOn w:val="DefaultParagraphFont"/>
    <w:uiPriority w:val="31"/>
    <w:qFormat/>
    <w:rsid w:val="00FC693F"/>
    <w:rPr>
      <w:smallCaps/>
      <w:color w:val="E5751F" w:themeColor="accent2"/>
      <w:u w:val="single"/>
    </w:rPr>
  </w:style>
  <w:style w:type="character" w:styleId="IntenseReference">
    <w:name w:val="Intense Reference"/>
    <w:basedOn w:val="DefaultParagraphFont"/>
    <w:uiPriority w:val="32"/>
    <w:qFormat/>
    <w:rsid w:val="00FC693F"/>
    <w:rPr>
      <w:b/>
      <w:bCs/>
      <w:smallCaps/>
      <w:color w:val="E5751F"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641730" w:themeColor="accent1" w:themeShade="BF"/>
    </w:rPr>
    <w:tblPr>
      <w:tblStyleRowBandSize w:val="1"/>
      <w:tblStyleColBandSize w:val="1"/>
      <w:tblBorders>
        <w:top w:val="single" w:sz="8" w:space="0" w:color="861F41" w:themeColor="accent1"/>
        <w:bottom w:val="single" w:sz="8" w:space="0" w:color="861F41" w:themeColor="accent1"/>
      </w:tblBorders>
    </w:tblPr>
    <w:tblStylePr w:type="fir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la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left w:val="nil"/>
          <w:right w:val="nil"/>
          <w:insideH w:val="nil"/>
          <w:insideV w:val="nil"/>
        </w:tcBorders>
        <w:shd w:val="clear" w:color="auto" w:fill="EFB9CB" w:themeFill="accent1" w:themeFillTint="3F"/>
      </w:tcPr>
    </w:tblStylePr>
  </w:style>
  <w:style w:type="table" w:styleId="LightShading-Accent2">
    <w:name w:val="Light Shading Accent 2"/>
    <w:basedOn w:val="TableNormal"/>
    <w:uiPriority w:val="60"/>
    <w:rsid w:val="00FC693F"/>
    <w:pPr>
      <w:spacing w:after="0" w:line="240" w:lineRule="auto"/>
    </w:pPr>
    <w:rPr>
      <w:color w:val="AE5614" w:themeColor="accent2" w:themeShade="BF"/>
    </w:rPr>
    <w:tblPr>
      <w:tblStyleRowBandSize w:val="1"/>
      <w:tblStyleColBandSize w:val="1"/>
      <w:tblBorders>
        <w:top w:val="single" w:sz="8" w:space="0" w:color="E5751F" w:themeColor="accent2"/>
        <w:bottom w:val="single" w:sz="8" w:space="0" w:color="E5751F" w:themeColor="accent2"/>
      </w:tblBorders>
    </w:tblPr>
    <w:tblStylePr w:type="fir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la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left w:val="nil"/>
          <w:right w:val="nil"/>
          <w:insideH w:val="nil"/>
          <w:insideV w:val="nil"/>
        </w:tcBorders>
        <w:shd w:val="clear" w:color="auto" w:fill="F8DCC7" w:themeFill="accent2" w:themeFillTint="3F"/>
      </w:tcPr>
    </w:tblStylePr>
  </w:style>
  <w:style w:type="table" w:styleId="LightShading-Accent3">
    <w:name w:val="Light Shading Accent 3"/>
    <w:basedOn w:val="TableNormal"/>
    <w:uiPriority w:val="60"/>
    <w:rsid w:val="00FC693F"/>
    <w:pPr>
      <w:spacing w:after="0" w:line="240" w:lineRule="auto"/>
    </w:pPr>
    <w:rPr>
      <w:color w:val="57595C" w:themeColor="accent3" w:themeShade="BF"/>
    </w:rPr>
    <w:tblPr>
      <w:tblStyleRowBandSize w:val="1"/>
      <w:tblStyleColBandSize w:val="1"/>
      <w:tblBorders>
        <w:top w:val="single" w:sz="8" w:space="0" w:color="75787B" w:themeColor="accent3"/>
        <w:bottom w:val="single" w:sz="8" w:space="0" w:color="75787B" w:themeColor="accent3"/>
      </w:tblBorders>
    </w:tblPr>
    <w:tblStylePr w:type="fir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la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left w:val="nil"/>
          <w:right w:val="nil"/>
          <w:insideH w:val="nil"/>
          <w:insideV w:val="nil"/>
        </w:tcBorders>
        <w:shd w:val="clear" w:color="auto" w:fill="DCDDDE" w:themeFill="accent3" w:themeFillTint="3F"/>
      </w:tcPr>
    </w:tblStylePr>
  </w:style>
  <w:style w:type="table" w:styleId="LightShading-Accent4">
    <w:name w:val="Light Shading Accent 4"/>
    <w:basedOn w:val="TableNormal"/>
    <w:uiPriority w:val="60"/>
    <w:rsid w:val="00FC693F"/>
    <w:pPr>
      <w:spacing w:after="0" w:line="240" w:lineRule="auto"/>
    </w:pPr>
    <w:rPr>
      <w:color w:val="4A1C4C" w:themeColor="accent4" w:themeShade="BF"/>
    </w:rPr>
    <w:tblPr>
      <w:tblStyleRowBandSize w:val="1"/>
      <w:tblStyleColBandSize w:val="1"/>
      <w:tblBorders>
        <w:top w:val="single" w:sz="8" w:space="0" w:color="642667" w:themeColor="accent4"/>
        <w:bottom w:val="single" w:sz="8" w:space="0" w:color="642667" w:themeColor="accent4"/>
      </w:tblBorders>
    </w:tblPr>
    <w:tblStylePr w:type="fir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la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left w:val="nil"/>
          <w:right w:val="nil"/>
          <w:insideH w:val="nil"/>
          <w:insideV w:val="nil"/>
        </w:tcBorders>
        <w:shd w:val="clear" w:color="auto" w:fill="E4BCE6" w:themeFill="accent4" w:themeFillTint="3F"/>
      </w:tcPr>
    </w:tblStylePr>
  </w:style>
  <w:style w:type="table" w:styleId="LightShading-Accent5">
    <w:name w:val="Light Shading Accent 5"/>
    <w:basedOn w:val="TableNormal"/>
    <w:uiPriority w:val="60"/>
    <w:rsid w:val="00FC693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pPr>
      <w:spacing w:after="0" w:line="240" w:lineRule="auto"/>
    </w:pPr>
    <w:rPr>
      <w:color w:val="3C636B" w:themeColor="accent6" w:themeShade="BF"/>
    </w:rPr>
    <w:tblPr>
      <w:tblStyleRowBandSize w:val="1"/>
      <w:tblStyleColBandSize w:val="1"/>
      <w:tblBorders>
        <w:top w:val="single" w:sz="8" w:space="0" w:color="508590" w:themeColor="accent6"/>
        <w:bottom w:val="single" w:sz="8" w:space="0" w:color="508590" w:themeColor="accent6"/>
      </w:tblBorders>
    </w:tblPr>
    <w:tblStylePr w:type="fir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la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left w:val="nil"/>
          <w:right w:val="nil"/>
          <w:insideH w:val="nil"/>
          <w:insideV w:val="nil"/>
        </w:tcBorders>
        <w:shd w:val="clear" w:color="auto" w:fill="D1E2E5"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pPr>
        <w:spacing w:before="0" w:after="0" w:line="240" w:lineRule="auto"/>
      </w:pPr>
      <w:rPr>
        <w:b/>
        <w:bCs/>
        <w:color w:val="FFFFFF" w:themeColor="background1"/>
      </w:rPr>
      <w:tblPr/>
      <w:tcPr>
        <w:shd w:val="clear" w:color="auto" w:fill="861F41" w:themeFill="accent1"/>
      </w:tcPr>
    </w:tblStylePr>
    <w:tblStylePr w:type="lastRow">
      <w:pPr>
        <w:spacing w:before="0" w:after="0" w:line="240" w:lineRule="auto"/>
      </w:pPr>
      <w:rPr>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tcBorders>
      </w:tcPr>
    </w:tblStylePr>
    <w:tblStylePr w:type="firstCol">
      <w:rPr>
        <w:b/>
        <w:bCs/>
      </w:rPr>
    </w:tblStylePr>
    <w:tblStylePr w:type="lastCol">
      <w:rPr>
        <w:b/>
        <w:bCs/>
      </w:r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pPr>
        <w:spacing w:before="0" w:after="0" w:line="240" w:lineRule="auto"/>
      </w:pPr>
      <w:rPr>
        <w:b/>
        <w:bCs/>
        <w:color w:val="FFFFFF" w:themeColor="background1"/>
      </w:rPr>
      <w:tblPr/>
      <w:tcPr>
        <w:shd w:val="clear" w:color="auto" w:fill="E5751F" w:themeFill="accent2"/>
      </w:tcPr>
    </w:tblStylePr>
    <w:tblStylePr w:type="lastRow">
      <w:pPr>
        <w:spacing w:before="0" w:after="0" w:line="240" w:lineRule="auto"/>
      </w:pPr>
      <w:rPr>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tcBorders>
      </w:tcPr>
    </w:tblStylePr>
    <w:tblStylePr w:type="firstCol">
      <w:rPr>
        <w:b/>
        <w:bCs/>
      </w:rPr>
    </w:tblStylePr>
    <w:tblStylePr w:type="lastCol">
      <w:rPr>
        <w:b/>
        <w:bCs/>
      </w:r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pPr>
        <w:spacing w:before="0" w:after="0" w:line="240" w:lineRule="auto"/>
      </w:pPr>
      <w:rPr>
        <w:b/>
        <w:bCs/>
        <w:color w:val="FFFFFF" w:themeColor="background1"/>
      </w:rPr>
      <w:tblPr/>
      <w:tcPr>
        <w:shd w:val="clear" w:color="auto" w:fill="75787B" w:themeFill="accent3"/>
      </w:tcPr>
    </w:tblStylePr>
    <w:tblStylePr w:type="lastRow">
      <w:pPr>
        <w:spacing w:before="0" w:after="0" w:line="240" w:lineRule="auto"/>
      </w:pPr>
      <w:rPr>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tcBorders>
      </w:tcPr>
    </w:tblStylePr>
    <w:tblStylePr w:type="firstCol">
      <w:rPr>
        <w:b/>
        <w:bCs/>
      </w:rPr>
    </w:tblStylePr>
    <w:tblStylePr w:type="lastCol">
      <w:rPr>
        <w:b/>
        <w:bCs/>
      </w:r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pPr>
        <w:spacing w:before="0" w:after="0" w:line="240" w:lineRule="auto"/>
      </w:pPr>
      <w:rPr>
        <w:b/>
        <w:bCs/>
        <w:color w:val="FFFFFF" w:themeColor="background1"/>
      </w:rPr>
      <w:tblPr/>
      <w:tcPr>
        <w:shd w:val="clear" w:color="auto" w:fill="642667" w:themeFill="accent4"/>
      </w:tcPr>
    </w:tblStylePr>
    <w:tblStylePr w:type="lastRow">
      <w:pPr>
        <w:spacing w:before="0" w:after="0" w:line="240" w:lineRule="auto"/>
      </w:pPr>
      <w:rPr>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tcBorders>
      </w:tcPr>
    </w:tblStylePr>
    <w:tblStylePr w:type="firstCol">
      <w:rPr>
        <w:b/>
        <w:bCs/>
      </w:rPr>
    </w:tblStylePr>
    <w:tblStylePr w:type="lastCol">
      <w:rPr>
        <w:b/>
        <w:bCs/>
      </w:r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pPr>
        <w:spacing w:before="0" w:after="0" w:line="240" w:lineRule="auto"/>
      </w:pPr>
      <w:rPr>
        <w:b/>
        <w:bCs/>
        <w:color w:val="FFFFFF" w:themeColor="background1"/>
      </w:rPr>
      <w:tblPr/>
      <w:tcPr>
        <w:shd w:val="clear" w:color="auto" w:fill="508590" w:themeFill="accent6"/>
      </w:tcPr>
    </w:tblStylePr>
    <w:tblStylePr w:type="lastRow">
      <w:pPr>
        <w:spacing w:before="0" w:after="0" w:line="240" w:lineRule="auto"/>
      </w:pPr>
      <w:rPr>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tcBorders>
      </w:tcPr>
    </w:tblStylePr>
    <w:tblStylePr w:type="firstCol">
      <w:rPr>
        <w:b/>
        <w:bCs/>
      </w:rPr>
    </w:tblStylePr>
    <w:tblStylePr w:type="lastCol">
      <w:rPr>
        <w:b/>
        <w:bCs/>
      </w:r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18" w:space="0" w:color="861F41" w:themeColor="accent1"/>
          <w:right w:val="single" w:sz="8" w:space="0" w:color="861F41" w:themeColor="accent1"/>
          <w:insideH w:val="nil"/>
          <w:insideV w:val="single" w:sz="8" w:space="0" w:color="861F4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insideH w:val="nil"/>
          <w:insideV w:val="single" w:sz="8" w:space="0" w:color="861F4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shd w:val="clear" w:color="auto" w:fill="EFB9CB" w:themeFill="accent1" w:themeFillTint="3F"/>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shd w:val="clear" w:color="auto" w:fill="EFB9CB" w:themeFill="accent1" w:themeFillTint="3F"/>
      </w:tcPr>
    </w:tblStylePr>
    <w:tblStylePr w:type="band2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18" w:space="0" w:color="E5751F" w:themeColor="accent2"/>
          <w:right w:val="single" w:sz="8" w:space="0" w:color="E5751F" w:themeColor="accent2"/>
          <w:insideH w:val="nil"/>
          <w:insideV w:val="single" w:sz="8" w:space="0" w:color="E575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insideH w:val="nil"/>
          <w:insideV w:val="single" w:sz="8" w:space="0" w:color="E575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shd w:val="clear" w:color="auto" w:fill="F8DCC7" w:themeFill="accent2" w:themeFillTint="3F"/>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shd w:val="clear" w:color="auto" w:fill="F8DCC7" w:themeFill="accent2" w:themeFillTint="3F"/>
      </w:tcPr>
    </w:tblStylePr>
    <w:tblStylePr w:type="band2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18" w:space="0" w:color="75787B" w:themeColor="accent3"/>
          <w:right w:val="single" w:sz="8" w:space="0" w:color="75787B" w:themeColor="accent3"/>
          <w:insideH w:val="nil"/>
          <w:insideV w:val="single" w:sz="8" w:space="0" w:color="75787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insideH w:val="nil"/>
          <w:insideV w:val="single" w:sz="8" w:space="0" w:color="75787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shd w:val="clear" w:color="auto" w:fill="DCDDDE" w:themeFill="accent3" w:themeFillTint="3F"/>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shd w:val="clear" w:color="auto" w:fill="DCDDDE" w:themeFill="accent3" w:themeFillTint="3F"/>
      </w:tcPr>
    </w:tblStylePr>
    <w:tblStylePr w:type="band2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18" w:space="0" w:color="642667" w:themeColor="accent4"/>
          <w:right w:val="single" w:sz="8" w:space="0" w:color="642667" w:themeColor="accent4"/>
          <w:insideH w:val="nil"/>
          <w:insideV w:val="single" w:sz="8" w:space="0" w:color="6426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insideH w:val="nil"/>
          <w:insideV w:val="single" w:sz="8" w:space="0" w:color="6426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shd w:val="clear" w:color="auto" w:fill="E4BCE6" w:themeFill="accent4" w:themeFillTint="3F"/>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shd w:val="clear" w:color="auto" w:fill="E4BCE6" w:themeFill="accent4" w:themeFillTint="3F"/>
      </w:tcPr>
    </w:tblStylePr>
    <w:tblStylePr w:type="band2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18" w:space="0" w:color="508590" w:themeColor="accent6"/>
          <w:right w:val="single" w:sz="8" w:space="0" w:color="508590" w:themeColor="accent6"/>
          <w:insideH w:val="nil"/>
          <w:insideV w:val="single" w:sz="8" w:space="0" w:color="50859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insideH w:val="nil"/>
          <w:insideV w:val="single" w:sz="8" w:space="0" w:color="50859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shd w:val="clear" w:color="auto" w:fill="D1E2E5" w:themeFill="accent6" w:themeFillTint="3F"/>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shd w:val="clear" w:color="auto" w:fill="D1E2E5" w:themeFill="accent6" w:themeFillTint="3F"/>
      </w:tcPr>
    </w:tblStylePr>
    <w:tblStylePr w:type="band2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tblBorders>
    </w:tblPr>
    <w:tblStylePr w:type="firstRow">
      <w:pPr>
        <w:spacing w:before="0" w:after="0" w:line="240" w:lineRule="auto"/>
      </w:pPr>
      <w:rPr>
        <w:b/>
        <w:bCs/>
        <w:color w:val="FFFFFF" w:themeColor="background1"/>
      </w:rPr>
      <w:tblPr/>
      <w:tcPr>
        <w:tc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shd w:val="clear" w:color="auto" w:fill="861F41" w:themeFill="accent1"/>
      </w:tcPr>
    </w:tblStylePr>
    <w:tblStylePr w:type="lastRow">
      <w:pPr>
        <w:spacing w:before="0" w:after="0" w:line="240" w:lineRule="auto"/>
      </w:pPr>
      <w:rPr>
        <w:b/>
        <w:bCs/>
      </w:rPr>
      <w:tblPr/>
      <w:tcPr>
        <w:tcBorders>
          <w:top w:val="double" w:sz="6"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FB9CB" w:themeFill="accent1" w:themeFillTint="3F"/>
      </w:tcPr>
    </w:tblStylePr>
    <w:tblStylePr w:type="band1Horz">
      <w:tblPr/>
      <w:tcPr>
        <w:tcBorders>
          <w:insideH w:val="nil"/>
          <w:insideV w:val="nil"/>
        </w:tcBorders>
        <w:shd w:val="clear" w:color="auto" w:fill="EFB9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tblBorders>
    </w:tblPr>
    <w:tblStylePr w:type="firstRow">
      <w:pPr>
        <w:spacing w:before="0" w:after="0" w:line="240" w:lineRule="auto"/>
      </w:pPr>
      <w:rPr>
        <w:b/>
        <w:bCs/>
        <w:color w:val="FFFFFF" w:themeColor="background1"/>
      </w:rPr>
      <w:tblPr/>
      <w:tcPr>
        <w:tc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shd w:val="clear" w:color="auto" w:fill="E5751F" w:themeFill="accent2"/>
      </w:tcPr>
    </w:tblStylePr>
    <w:tblStylePr w:type="lastRow">
      <w:pPr>
        <w:spacing w:before="0" w:after="0" w:line="240" w:lineRule="auto"/>
      </w:pPr>
      <w:rPr>
        <w:b/>
        <w:bCs/>
      </w:rPr>
      <w:tblPr/>
      <w:tcPr>
        <w:tcBorders>
          <w:top w:val="double" w:sz="6"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2" w:themeFillTint="3F"/>
      </w:tcPr>
    </w:tblStylePr>
    <w:tblStylePr w:type="band1Horz">
      <w:tblPr/>
      <w:tcPr>
        <w:tcBorders>
          <w:insideH w:val="nil"/>
          <w:insideV w:val="nil"/>
        </w:tcBorders>
        <w:shd w:val="clear" w:color="auto" w:fill="F8DC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tblBorders>
    </w:tblPr>
    <w:tblStylePr w:type="firstRow">
      <w:pPr>
        <w:spacing w:before="0" w:after="0" w:line="240" w:lineRule="auto"/>
      </w:pPr>
      <w:rPr>
        <w:b/>
        <w:bCs/>
        <w:color w:val="FFFFFF" w:themeColor="background1"/>
      </w:rPr>
      <w:tblPr/>
      <w:tcPr>
        <w:tc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shd w:val="clear" w:color="auto" w:fill="75787B" w:themeFill="accent3"/>
      </w:tcPr>
    </w:tblStylePr>
    <w:tblStylePr w:type="lastRow">
      <w:pPr>
        <w:spacing w:before="0" w:after="0" w:line="240" w:lineRule="auto"/>
      </w:pPr>
      <w:rPr>
        <w:b/>
        <w:bCs/>
      </w:rPr>
      <w:tblPr/>
      <w:tcPr>
        <w:tcBorders>
          <w:top w:val="double" w:sz="6"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3" w:themeFillTint="3F"/>
      </w:tcPr>
    </w:tblStylePr>
    <w:tblStylePr w:type="band1Horz">
      <w:tblPr/>
      <w:tcPr>
        <w:tcBorders>
          <w:insideH w:val="nil"/>
          <w:insideV w:val="nil"/>
        </w:tcBorders>
        <w:shd w:val="clear" w:color="auto" w:fill="DCDDD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tblBorders>
    </w:tblPr>
    <w:tblStylePr w:type="firstRow">
      <w:pPr>
        <w:spacing w:before="0" w:after="0" w:line="240" w:lineRule="auto"/>
      </w:pPr>
      <w:rPr>
        <w:b/>
        <w:bCs/>
        <w:color w:val="FFFFFF" w:themeColor="background1"/>
      </w:rPr>
      <w:tblPr/>
      <w:tcPr>
        <w:tc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shd w:val="clear" w:color="auto" w:fill="642667" w:themeFill="accent4"/>
      </w:tcPr>
    </w:tblStylePr>
    <w:tblStylePr w:type="lastRow">
      <w:pPr>
        <w:spacing w:before="0" w:after="0" w:line="240" w:lineRule="auto"/>
      </w:pPr>
      <w:rPr>
        <w:b/>
        <w:bCs/>
      </w:rPr>
      <w:tblPr/>
      <w:tcPr>
        <w:tcBorders>
          <w:top w:val="double" w:sz="6"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BCE6" w:themeFill="accent4" w:themeFillTint="3F"/>
      </w:tcPr>
    </w:tblStylePr>
    <w:tblStylePr w:type="band1Horz">
      <w:tblPr/>
      <w:tcPr>
        <w:tcBorders>
          <w:insideH w:val="nil"/>
          <w:insideV w:val="nil"/>
        </w:tcBorders>
        <w:shd w:val="clear" w:color="auto" w:fill="E4BCE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tblBorders>
    </w:tblPr>
    <w:tblStylePr w:type="firstRow">
      <w:pPr>
        <w:spacing w:before="0" w:after="0" w:line="240" w:lineRule="auto"/>
      </w:pPr>
      <w:rPr>
        <w:b/>
        <w:bCs/>
        <w:color w:val="FFFFFF" w:themeColor="background1"/>
      </w:rPr>
      <w:tblPr/>
      <w:tcPr>
        <w:tc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shd w:val="clear" w:color="auto" w:fill="508590" w:themeFill="accent6"/>
      </w:tcPr>
    </w:tblStylePr>
    <w:tblStylePr w:type="lastRow">
      <w:pPr>
        <w:spacing w:before="0" w:after="0" w:line="240" w:lineRule="auto"/>
      </w:pPr>
      <w:rPr>
        <w:b/>
        <w:bCs/>
      </w:rPr>
      <w:tblPr/>
      <w:tcPr>
        <w:tcBorders>
          <w:top w:val="double" w:sz="6"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E2E5" w:themeFill="accent6" w:themeFillTint="3F"/>
      </w:tcPr>
    </w:tblStylePr>
    <w:tblStylePr w:type="band1Horz">
      <w:tblPr/>
      <w:tcPr>
        <w:tcBorders>
          <w:insideH w:val="nil"/>
          <w:insideV w:val="nil"/>
        </w:tcBorders>
        <w:shd w:val="clear" w:color="auto" w:fill="D1E2E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1F4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1F41" w:themeFill="accent1"/>
      </w:tcPr>
    </w:tblStylePr>
    <w:tblStylePr w:type="lastCol">
      <w:rPr>
        <w:b/>
        <w:bCs/>
        <w:color w:val="FFFFFF" w:themeColor="background1"/>
      </w:rPr>
      <w:tblPr/>
      <w:tcPr>
        <w:tcBorders>
          <w:left w:val="nil"/>
          <w:right w:val="nil"/>
          <w:insideH w:val="nil"/>
          <w:insideV w:val="nil"/>
        </w:tcBorders>
        <w:shd w:val="clear" w:color="auto" w:fill="861F4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75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5751F" w:themeFill="accent2"/>
      </w:tcPr>
    </w:tblStylePr>
    <w:tblStylePr w:type="lastCol">
      <w:rPr>
        <w:b/>
        <w:bCs/>
        <w:color w:val="FFFFFF" w:themeColor="background1"/>
      </w:rPr>
      <w:tblPr/>
      <w:tcPr>
        <w:tcBorders>
          <w:left w:val="nil"/>
          <w:right w:val="nil"/>
          <w:insideH w:val="nil"/>
          <w:insideV w:val="nil"/>
        </w:tcBorders>
        <w:shd w:val="clear" w:color="auto" w:fill="E575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787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787B" w:themeFill="accent3"/>
      </w:tcPr>
    </w:tblStylePr>
    <w:tblStylePr w:type="lastCol">
      <w:rPr>
        <w:b/>
        <w:bCs/>
        <w:color w:val="FFFFFF" w:themeColor="background1"/>
      </w:rPr>
      <w:tblPr/>
      <w:tcPr>
        <w:tcBorders>
          <w:left w:val="nil"/>
          <w:right w:val="nil"/>
          <w:insideH w:val="nil"/>
          <w:insideV w:val="nil"/>
        </w:tcBorders>
        <w:shd w:val="clear" w:color="auto" w:fill="75787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26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42667" w:themeFill="accent4"/>
      </w:tcPr>
    </w:tblStylePr>
    <w:tblStylePr w:type="lastCol">
      <w:rPr>
        <w:b/>
        <w:bCs/>
        <w:color w:val="FFFFFF" w:themeColor="background1"/>
      </w:rPr>
      <w:tblPr/>
      <w:tcPr>
        <w:tcBorders>
          <w:left w:val="nil"/>
          <w:right w:val="nil"/>
          <w:insideH w:val="nil"/>
          <w:insideV w:val="nil"/>
        </w:tcBorders>
        <w:shd w:val="clear" w:color="auto" w:fill="6426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859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8590" w:themeFill="accent6"/>
      </w:tcPr>
    </w:tblStylePr>
    <w:tblStylePr w:type="lastCol">
      <w:rPr>
        <w:b/>
        <w:bCs/>
        <w:color w:val="FFFFFF" w:themeColor="background1"/>
      </w:rPr>
      <w:tblPr/>
      <w:tcPr>
        <w:tcBorders>
          <w:left w:val="nil"/>
          <w:right w:val="nil"/>
          <w:insideH w:val="nil"/>
          <w:insideV w:val="nil"/>
        </w:tcBorders>
        <w:shd w:val="clear" w:color="auto" w:fill="50859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861F41" w:themeColor="accent1"/>
        <w:bottom w:val="single" w:sz="8" w:space="0" w:color="861F41" w:themeColor="accent1"/>
      </w:tblBorders>
    </w:tblPr>
    <w:tblStylePr w:type="firstRow">
      <w:rPr>
        <w:rFonts w:asciiTheme="majorHAnsi" w:eastAsiaTheme="majorEastAsia" w:hAnsiTheme="majorHAnsi" w:cstheme="majorBidi"/>
      </w:rPr>
      <w:tblPr/>
      <w:tcPr>
        <w:tcBorders>
          <w:top w:val="nil"/>
          <w:bottom w:val="single" w:sz="8" w:space="0" w:color="861F41" w:themeColor="accent1"/>
        </w:tcBorders>
      </w:tcPr>
    </w:tblStylePr>
    <w:tblStylePr w:type="lastRow">
      <w:rPr>
        <w:b/>
        <w:bCs/>
        <w:color w:val="0E2841" w:themeColor="text2"/>
      </w:rPr>
      <w:tblPr/>
      <w:tcPr>
        <w:tcBorders>
          <w:top w:val="single" w:sz="8" w:space="0" w:color="861F41" w:themeColor="accent1"/>
          <w:bottom w:val="single" w:sz="8" w:space="0" w:color="861F41" w:themeColor="accent1"/>
        </w:tcBorders>
      </w:tcPr>
    </w:tblStylePr>
    <w:tblStylePr w:type="firstCol">
      <w:rPr>
        <w:b/>
        <w:bCs/>
      </w:rPr>
    </w:tblStylePr>
    <w:tblStylePr w:type="lastCol">
      <w:rPr>
        <w:b/>
        <w:bCs/>
      </w:rPr>
      <w:tblPr/>
      <w:tcPr>
        <w:tcBorders>
          <w:top w:val="single" w:sz="8" w:space="0" w:color="861F41" w:themeColor="accent1"/>
          <w:bottom w:val="single" w:sz="8" w:space="0" w:color="861F41" w:themeColor="accent1"/>
        </w:tcBorders>
      </w:tcPr>
    </w:tblStylePr>
    <w:tblStylePr w:type="band1Vert">
      <w:tblPr/>
      <w:tcPr>
        <w:shd w:val="clear" w:color="auto" w:fill="EFB9CB" w:themeFill="accent1" w:themeFillTint="3F"/>
      </w:tcPr>
    </w:tblStylePr>
    <w:tblStylePr w:type="band1Horz">
      <w:tblPr/>
      <w:tcPr>
        <w:shd w:val="clear" w:color="auto" w:fill="EFB9CB"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5751F" w:themeColor="accent2"/>
        <w:bottom w:val="single" w:sz="8" w:space="0" w:color="E5751F" w:themeColor="accent2"/>
      </w:tblBorders>
    </w:tblPr>
    <w:tblStylePr w:type="firstRow">
      <w:rPr>
        <w:rFonts w:asciiTheme="majorHAnsi" w:eastAsiaTheme="majorEastAsia" w:hAnsiTheme="majorHAnsi" w:cstheme="majorBidi"/>
      </w:rPr>
      <w:tblPr/>
      <w:tcPr>
        <w:tcBorders>
          <w:top w:val="nil"/>
          <w:bottom w:val="single" w:sz="8" w:space="0" w:color="E5751F" w:themeColor="accent2"/>
        </w:tcBorders>
      </w:tcPr>
    </w:tblStylePr>
    <w:tblStylePr w:type="lastRow">
      <w:rPr>
        <w:b/>
        <w:bCs/>
        <w:color w:val="0E2841" w:themeColor="text2"/>
      </w:rPr>
      <w:tblPr/>
      <w:tcPr>
        <w:tcBorders>
          <w:top w:val="single" w:sz="8" w:space="0" w:color="E5751F" w:themeColor="accent2"/>
          <w:bottom w:val="single" w:sz="8" w:space="0" w:color="E5751F" w:themeColor="accent2"/>
        </w:tcBorders>
      </w:tcPr>
    </w:tblStylePr>
    <w:tblStylePr w:type="firstCol">
      <w:rPr>
        <w:b/>
        <w:bCs/>
      </w:rPr>
    </w:tblStylePr>
    <w:tblStylePr w:type="lastCol">
      <w:rPr>
        <w:b/>
        <w:bCs/>
      </w:rPr>
      <w:tblPr/>
      <w:tcPr>
        <w:tcBorders>
          <w:top w:val="single" w:sz="8" w:space="0" w:color="E5751F" w:themeColor="accent2"/>
          <w:bottom w:val="single" w:sz="8" w:space="0" w:color="E5751F" w:themeColor="accent2"/>
        </w:tcBorders>
      </w:tcPr>
    </w:tblStylePr>
    <w:tblStylePr w:type="band1Vert">
      <w:tblPr/>
      <w:tcPr>
        <w:shd w:val="clear" w:color="auto" w:fill="F8DCC7" w:themeFill="accent2" w:themeFillTint="3F"/>
      </w:tcPr>
    </w:tblStylePr>
    <w:tblStylePr w:type="band1Horz">
      <w:tblPr/>
      <w:tcPr>
        <w:shd w:val="clear" w:color="auto" w:fill="F8DCC7"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75787B" w:themeColor="accent3"/>
        <w:bottom w:val="single" w:sz="8" w:space="0" w:color="75787B" w:themeColor="accent3"/>
      </w:tblBorders>
    </w:tblPr>
    <w:tblStylePr w:type="firstRow">
      <w:rPr>
        <w:rFonts w:asciiTheme="majorHAnsi" w:eastAsiaTheme="majorEastAsia" w:hAnsiTheme="majorHAnsi" w:cstheme="majorBidi"/>
      </w:rPr>
      <w:tblPr/>
      <w:tcPr>
        <w:tcBorders>
          <w:top w:val="nil"/>
          <w:bottom w:val="single" w:sz="8" w:space="0" w:color="75787B" w:themeColor="accent3"/>
        </w:tcBorders>
      </w:tcPr>
    </w:tblStylePr>
    <w:tblStylePr w:type="lastRow">
      <w:rPr>
        <w:b/>
        <w:bCs/>
        <w:color w:val="0E2841" w:themeColor="text2"/>
      </w:rPr>
      <w:tblPr/>
      <w:tcPr>
        <w:tcBorders>
          <w:top w:val="single" w:sz="8" w:space="0" w:color="75787B" w:themeColor="accent3"/>
          <w:bottom w:val="single" w:sz="8" w:space="0" w:color="75787B" w:themeColor="accent3"/>
        </w:tcBorders>
      </w:tcPr>
    </w:tblStylePr>
    <w:tblStylePr w:type="firstCol">
      <w:rPr>
        <w:b/>
        <w:bCs/>
      </w:rPr>
    </w:tblStylePr>
    <w:tblStylePr w:type="lastCol">
      <w:rPr>
        <w:b/>
        <w:bCs/>
      </w:rPr>
      <w:tblPr/>
      <w:tcPr>
        <w:tcBorders>
          <w:top w:val="single" w:sz="8" w:space="0" w:color="75787B" w:themeColor="accent3"/>
          <w:bottom w:val="single" w:sz="8" w:space="0" w:color="75787B" w:themeColor="accent3"/>
        </w:tcBorders>
      </w:tcPr>
    </w:tblStylePr>
    <w:tblStylePr w:type="band1Vert">
      <w:tblPr/>
      <w:tcPr>
        <w:shd w:val="clear" w:color="auto" w:fill="DCDDDE" w:themeFill="accent3" w:themeFillTint="3F"/>
      </w:tcPr>
    </w:tblStylePr>
    <w:tblStylePr w:type="band1Horz">
      <w:tblPr/>
      <w:tcPr>
        <w:shd w:val="clear" w:color="auto" w:fill="DCDDDE"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642667" w:themeColor="accent4"/>
        <w:bottom w:val="single" w:sz="8" w:space="0" w:color="642667" w:themeColor="accent4"/>
      </w:tblBorders>
    </w:tblPr>
    <w:tblStylePr w:type="firstRow">
      <w:rPr>
        <w:rFonts w:asciiTheme="majorHAnsi" w:eastAsiaTheme="majorEastAsia" w:hAnsiTheme="majorHAnsi" w:cstheme="majorBidi"/>
      </w:rPr>
      <w:tblPr/>
      <w:tcPr>
        <w:tcBorders>
          <w:top w:val="nil"/>
          <w:bottom w:val="single" w:sz="8" w:space="0" w:color="642667" w:themeColor="accent4"/>
        </w:tcBorders>
      </w:tcPr>
    </w:tblStylePr>
    <w:tblStylePr w:type="lastRow">
      <w:rPr>
        <w:b/>
        <w:bCs/>
        <w:color w:val="0E2841" w:themeColor="text2"/>
      </w:rPr>
      <w:tblPr/>
      <w:tcPr>
        <w:tcBorders>
          <w:top w:val="single" w:sz="8" w:space="0" w:color="642667" w:themeColor="accent4"/>
          <w:bottom w:val="single" w:sz="8" w:space="0" w:color="642667" w:themeColor="accent4"/>
        </w:tcBorders>
      </w:tcPr>
    </w:tblStylePr>
    <w:tblStylePr w:type="firstCol">
      <w:rPr>
        <w:b/>
        <w:bCs/>
      </w:rPr>
    </w:tblStylePr>
    <w:tblStylePr w:type="lastCol">
      <w:rPr>
        <w:b/>
        <w:bCs/>
      </w:rPr>
      <w:tblPr/>
      <w:tcPr>
        <w:tcBorders>
          <w:top w:val="single" w:sz="8" w:space="0" w:color="642667" w:themeColor="accent4"/>
          <w:bottom w:val="single" w:sz="8" w:space="0" w:color="642667" w:themeColor="accent4"/>
        </w:tcBorders>
      </w:tcPr>
    </w:tblStylePr>
    <w:tblStylePr w:type="band1Vert">
      <w:tblPr/>
      <w:tcPr>
        <w:shd w:val="clear" w:color="auto" w:fill="E4BCE6" w:themeFill="accent4" w:themeFillTint="3F"/>
      </w:tcPr>
    </w:tblStylePr>
    <w:tblStylePr w:type="band1Horz">
      <w:tblPr/>
      <w:tcPr>
        <w:shd w:val="clear" w:color="auto" w:fill="E4BCE6"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508590" w:themeColor="accent6"/>
        <w:bottom w:val="single" w:sz="8" w:space="0" w:color="508590" w:themeColor="accent6"/>
      </w:tblBorders>
    </w:tblPr>
    <w:tblStylePr w:type="firstRow">
      <w:rPr>
        <w:rFonts w:asciiTheme="majorHAnsi" w:eastAsiaTheme="majorEastAsia" w:hAnsiTheme="majorHAnsi" w:cstheme="majorBidi"/>
      </w:rPr>
      <w:tblPr/>
      <w:tcPr>
        <w:tcBorders>
          <w:top w:val="nil"/>
          <w:bottom w:val="single" w:sz="8" w:space="0" w:color="508590" w:themeColor="accent6"/>
        </w:tcBorders>
      </w:tcPr>
    </w:tblStylePr>
    <w:tblStylePr w:type="lastRow">
      <w:rPr>
        <w:b/>
        <w:bCs/>
        <w:color w:val="0E2841" w:themeColor="text2"/>
      </w:rPr>
      <w:tblPr/>
      <w:tcPr>
        <w:tcBorders>
          <w:top w:val="single" w:sz="8" w:space="0" w:color="508590" w:themeColor="accent6"/>
          <w:bottom w:val="single" w:sz="8" w:space="0" w:color="508590" w:themeColor="accent6"/>
        </w:tcBorders>
      </w:tcPr>
    </w:tblStylePr>
    <w:tblStylePr w:type="firstCol">
      <w:rPr>
        <w:b/>
        <w:bCs/>
      </w:rPr>
    </w:tblStylePr>
    <w:tblStylePr w:type="lastCol">
      <w:rPr>
        <w:b/>
        <w:bCs/>
      </w:rPr>
      <w:tblPr/>
      <w:tcPr>
        <w:tcBorders>
          <w:top w:val="single" w:sz="8" w:space="0" w:color="508590" w:themeColor="accent6"/>
          <w:bottom w:val="single" w:sz="8" w:space="0" w:color="508590" w:themeColor="accent6"/>
        </w:tcBorders>
      </w:tcPr>
    </w:tblStylePr>
    <w:tblStylePr w:type="band1Vert">
      <w:tblPr/>
      <w:tcPr>
        <w:shd w:val="clear" w:color="auto" w:fill="D1E2E5" w:themeFill="accent6" w:themeFillTint="3F"/>
      </w:tcPr>
    </w:tblStylePr>
    <w:tblStylePr w:type="band1Horz">
      <w:tblPr/>
      <w:tcPr>
        <w:shd w:val="clear" w:color="auto" w:fill="D1E2E5"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rPr>
        <w:sz w:val="24"/>
        <w:szCs w:val="24"/>
      </w:rPr>
      <w:tblPr/>
      <w:tcPr>
        <w:tcBorders>
          <w:top w:val="nil"/>
          <w:left w:val="nil"/>
          <w:bottom w:val="single" w:sz="24" w:space="0" w:color="861F41" w:themeColor="accent1"/>
          <w:right w:val="nil"/>
          <w:insideH w:val="nil"/>
          <w:insideV w:val="nil"/>
        </w:tcBorders>
        <w:shd w:val="clear" w:color="auto" w:fill="FFFFFF" w:themeFill="background1"/>
      </w:tcPr>
    </w:tblStylePr>
    <w:tblStylePr w:type="lastRow">
      <w:tblPr/>
      <w:tcPr>
        <w:tcBorders>
          <w:top w:val="single" w:sz="8" w:space="0" w:color="861F4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1F41" w:themeColor="accent1"/>
          <w:insideH w:val="nil"/>
          <w:insideV w:val="nil"/>
        </w:tcBorders>
        <w:shd w:val="clear" w:color="auto" w:fill="FFFFFF" w:themeFill="background1"/>
      </w:tcPr>
    </w:tblStylePr>
    <w:tblStylePr w:type="lastCol">
      <w:tblPr/>
      <w:tcPr>
        <w:tcBorders>
          <w:top w:val="nil"/>
          <w:left w:val="single" w:sz="8" w:space="0" w:color="861F4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top w:val="nil"/>
          <w:bottom w:val="nil"/>
          <w:insideH w:val="nil"/>
          <w:insideV w:val="nil"/>
        </w:tcBorders>
        <w:shd w:val="clear" w:color="auto" w:fill="EFB9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rPr>
        <w:sz w:val="24"/>
        <w:szCs w:val="24"/>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tblPr/>
      <w:tcPr>
        <w:tcBorders>
          <w:top w:val="single" w:sz="8" w:space="0" w:color="E5751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751F" w:themeColor="accent2"/>
          <w:insideH w:val="nil"/>
          <w:insideV w:val="nil"/>
        </w:tcBorders>
        <w:shd w:val="clear" w:color="auto" w:fill="FFFFFF" w:themeFill="background1"/>
      </w:tcPr>
    </w:tblStylePr>
    <w:tblStylePr w:type="lastCol">
      <w:tblPr/>
      <w:tcPr>
        <w:tcBorders>
          <w:top w:val="nil"/>
          <w:left w:val="single" w:sz="8" w:space="0" w:color="E5751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top w:val="nil"/>
          <w:bottom w:val="nil"/>
          <w:insideH w:val="nil"/>
          <w:insideV w:val="nil"/>
        </w:tcBorders>
        <w:shd w:val="clear" w:color="auto" w:fill="F8DC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rPr>
        <w:sz w:val="24"/>
        <w:szCs w:val="24"/>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tblPr/>
      <w:tcPr>
        <w:tcBorders>
          <w:top w:val="single" w:sz="8" w:space="0" w:color="75787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787B" w:themeColor="accent3"/>
          <w:insideH w:val="nil"/>
          <w:insideV w:val="nil"/>
        </w:tcBorders>
        <w:shd w:val="clear" w:color="auto" w:fill="FFFFFF" w:themeFill="background1"/>
      </w:tcPr>
    </w:tblStylePr>
    <w:tblStylePr w:type="lastCol">
      <w:tblPr/>
      <w:tcPr>
        <w:tcBorders>
          <w:top w:val="nil"/>
          <w:left w:val="single" w:sz="8" w:space="0" w:color="75787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top w:val="nil"/>
          <w:bottom w:val="nil"/>
          <w:insideH w:val="nil"/>
          <w:insideV w:val="nil"/>
        </w:tcBorders>
        <w:shd w:val="clear" w:color="auto" w:fill="DCDD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rPr>
        <w:sz w:val="24"/>
        <w:szCs w:val="24"/>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tblPr/>
      <w:tcPr>
        <w:tcBorders>
          <w:top w:val="single" w:sz="8" w:space="0" w:color="64266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2667" w:themeColor="accent4"/>
          <w:insideH w:val="nil"/>
          <w:insideV w:val="nil"/>
        </w:tcBorders>
        <w:shd w:val="clear" w:color="auto" w:fill="FFFFFF" w:themeFill="background1"/>
      </w:tcPr>
    </w:tblStylePr>
    <w:tblStylePr w:type="lastCol">
      <w:tblPr/>
      <w:tcPr>
        <w:tcBorders>
          <w:top w:val="nil"/>
          <w:left w:val="single" w:sz="8" w:space="0" w:color="6426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top w:val="nil"/>
          <w:bottom w:val="nil"/>
          <w:insideH w:val="nil"/>
          <w:insideV w:val="nil"/>
        </w:tcBorders>
        <w:shd w:val="clear" w:color="auto" w:fill="E4BCE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rPr>
        <w:sz w:val="24"/>
        <w:szCs w:val="24"/>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tblPr/>
      <w:tcPr>
        <w:tcBorders>
          <w:top w:val="single" w:sz="8" w:space="0" w:color="50859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8590" w:themeColor="accent6"/>
          <w:insideH w:val="nil"/>
          <w:insideV w:val="nil"/>
        </w:tcBorders>
        <w:shd w:val="clear" w:color="auto" w:fill="FFFFFF" w:themeFill="background1"/>
      </w:tcPr>
    </w:tblStylePr>
    <w:tblStylePr w:type="lastCol">
      <w:tblPr/>
      <w:tcPr>
        <w:tcBorders>
          <w:top w:val="nil"/>
          <w:left w:val="single" w:sz="8" w:space="0" w:color="50859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top w:val="nil"/>
          <w:bottom w:val="nil"/>
          <w:insideH w:val="nil"/>
          <w:insideV w:val="nil"/>
        </w:tcBorders>
        <w:shd w:val="clear" w:color="auto" w:fill="D1E2E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insideV w:val="single" w:sz="8" w:space="0" w:color="CC2F62" w:themeColor="accent1" w:themeTint="BF"/>
      </w:tblBorders>
    </w:tblPr>
    <w:tcPr>
      <w:shd w:val="clear" w:color="auto" w:fill="EFB9CB" w:themeFill="accent1" w:themeFillTint="3F"/>
    </w:tcPr>
    <w:tblStylePr w:type="firstRow">
      <w:rPr>
        <w:b/>
        <w:bCs/>
      </w:rPr>
    </w:tblStylePr>
    <w:tblStylePr w:type="lastRow">
      <w:rPr>
        <w:b/>
        <w:bCs/>
      </w:rPr>
      <w:tblPr/>
      <w:tcPr>
        <w:tcBorders>
          <w:top w:val="single" w:sz="18" w:space="0" w:color="CC2F62" w:themeColor="accent1" w:themeTint="BF"/>
        </w:tcBorders>
      </w:tcPr>
    </w:tblStylePr>
    <w:tblStylePr w:type="firstCol">
      <w:rPr>
        <w:b/>
        <w:bCs/>
      </w:rPr>
    </w:tblStylePr>
    <w:tblStylePr w:type="lastCol">
      <w:rPr>
        <w:b/>
        <w:bCs/>
      </w:r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insideV w:val="single" w:sz="8" w:space="0" w:color="EB9757" w:themeColor="accent2" w:themeTint="BF"/>
      </w:tblBorders>
    </w:tblPr>
    <w:tcPr>
      <w:shd w:val="clear" w:color="auto" w:fill="F8DCC7" w:themeFill="accent2" w:themeFillTint="3F"/>
    </w:tcPr>
    <w:tblStylePr w:type="firstRow">
      <w:rPr>
        <w:b/>
        <w:bCs/>
      </w:rPr>
    </w:tblStylePr>
    <w:tblStylePr w:type="lastRow">
      <w:rPr>
        <w:b/>
        <w:bCs/>
      </w:rPr>
      <w:tblPr/>
      <w:tcPr>
        <w:tcBorders>
          <w:top w:val="single" w:sz="18" w:space="0" w:color="EB9757" w:themeColor="accent2" w:themeTint="BF"/>
        </w:tcBorders>
      </w:tcPr>
    </w:tblStylePr>
    <w:tblStylePr w:type="firstCol">
      <w:rPr>
        <w:b/>
        <w:bCs/>
      </w:rPr>
    </w:tblStylePr>
    <w:tblStylePr w:type="lastCol">
      <w:rPr>
        <w:b/>
        <w:bCs/>
      </w:r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insideV w:val="single" w:sz="8" w:space="0" w:color="97999C" w:themeColor="accent3" w:themeTint="BF"/>
      </w:tblBorders>
    </w:tblPr>
    <w:tcPr>
      <w:shd w:val="clear" w:color="auto" w:fill="DCDDDE" w:themeFill="accent3" w:themeFillTint="3F"/>
    </w:tcPr>
    <w:tblStylePr w:type="firstRow">
      <w:rPr>
        <w:b/>
        <w:bCs/>
      </w:rPr>
    </w:tblStylePr>
    <w:tblStylePr w:type="lastRow">
      <w:rPr>
        <w:b/>
        <w:bCs/>
      </w:rPr>
      <w:tblPr/>
      <w:tcPr>
        <w:tcBorders>
          <w:top w:val="single" w:sz="18" w:space="0" w:color="97999C" w:themeColor="accent3" w:themeTint="BF"/>
        </w:tcBorders>
      </w:tcPr>
    </w:tblStylePr>
    <w:tblStylePr w:type="firstCol">
      <w:rPr>
        <w:b/>
        <w:bCs/>
      </w:rPr>
    </w:tblStylePr>
    <w:tblStylePr w:type="lastCol">
      <w:rPr>
        <w:b/>
        <w:bCs/>
      </w:r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insideV w:val="single" w:sz="8" w:space="0" w:color="A53FAA" w:themeColor="accent4" w:themeTint="BF"/>
      </w:tblBorders>
    </w:tblPr>
    <w:tcPr>
      <w:shd w:val="clear" w:color="auto" w:fill="E4BCE6" w:themeFill="accent4" w:themeFillTint="3F"/>
    </w:tcPr>
    <w:tblStylePr w:type="firstRow">
      <w:rPr>
        <w:b/>
        <w:bCs/>
      </w:rPr>
    </w:tblStylePr>
    <w:tblStylePr w:type="lastRow">
      <w:rPr>
        <w:b/>
        <w:bCs/>
      </w:rPr>
      <w:tblPr/>
      <w:tcPr>
        <w:tcBorders>
          <w:top w:val="single" w:sz="18" w:space="0" w:color="A53FAA" w:themeColor="accent4" w:themeTint="BF"/>
        </w:tcBorders>
      </w:tcPr>
    </w:tblStylePr>
    <w:tblStylePr w:type="firstCol">
      <w:rPr>
        <w:b/>
        <w:bCs/>
      </w:rPr>
    </w:tblStylePr>
    <w:tblStylePr w:type="lastCol">
      <w:rPr>
        <w:b/>
        <w:bCs/>
      </w:r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insideV w:val="single" w:sz="8" w:space="0" w:color="75A7B2" w:themeColor="accent6" w:themeTint="BF"/>
      </w:tblBorders>
    </w:tblPr>
    <w:tcPr>
      <w:shd w:val="clear" w:color="auto" w:fill="D1E2E5" w:themeFill="accent6" w:themeFillTint="3F"/>
    </w:tcPr>
    <w:tblStylePr w:type="firstRow">
      <w:rPr>
        <w:b/>
        <w:bCs/>
      </w:rPr>
    </w:tblStylePr>
    <w:tblStylePr w:type="lastRow">
      <w:rPr>
        <w:b/>
        <w:bCs/>
      </w:rPr>
      <w:tblPr/>
      <w:tcPr>
        <w:tcBorders>
          <w:top w:val="single" w:sz="18" w:space="0" w:color="75A7B2" w:themeColor="accent6" w:themeTint="BF"/>
        </w:tcBorders>
      </w:tcPr>
    </w:tblStylePr>
    <w:tblStylePr w:type="firstCol">
      <w:rPr>
        <w:b/>
        <w:bCs/>
      </w:rPr>
    </w:tblStylePr>
    <w:tblStylePr w:type="lastCol">
      <w:rPr>
        <w:b/>
        <w:bCs/>
      </w:r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cPr>
      <w:shd w:val="clear" w:color="auto" w:fill="EFB9CB" w:themeFill="accent1" w:themeFillTint="3F"/>
    </w:tcPr>
    <w:tblStylePr w:type="firstRow">
      <w:rPr>
        <w:b/>
        <w:bCs/>
        <w:color w:val="000000" w:themeColor="text1"/>
      </w:rPr>
      <w:tblPr/>
      <w:tcPr>
        <w:shd w:val="clear" w:color="auto" w:fill="F8E3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6D5" w:themeFill="accent1" w:themeFillTint="33"/>
      </w:tcPr>
    </w:tblStylePr>
    <w:tblStylePr w:type="band1Vert">
      <w:tblPr/>
      <w:tcPr>
        <w:shd w:val="clear" w:color="auto" w:fill="DE7396" w:themeFill="accent1" w:themeFillTint="7F"/>
      </w:tcPr>
    </w:tblStylePr>
    <w:tblStylePr w:type="band1Horz">
      <w:tblPr/>
      <w:tcPr>
        <w:tcBorders>
          <w:insideH w:val="single" w:sz="6" w:space="0" w:color="861F41" w:themeColor="accent1"/>
          <w:insideV w:val="single" w:sz="6" w:space="0" w:color="861F41" w:themeColor="accent1"/>
        </w:tcBorders>
        <w:shd w:val="clear" w:color="auto" w:fill="DE73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cPr>
      <w:shd w:val="clear" w:color="auto" w:fill="F8DCC7" w:themeFill="accent2" w:themeFillTint="3F"/>
    </w:tcPr>
    <w:tblStylePr w:type="firstRow">
      <w:rPr>
        <w:b/>
        <w:bCs/>
        <w:color w:val="000000" w:themeColor="text1"/>
      </w:rPr>
      <w:tblPr/>
      <w:tcPr>
        <w:shd w:val="clear" w:color="auto" w:fill="FCF1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3D2" w:themeFill="accent2" w:themeFillTint="33"/>
      </w:tcPr>
    </w:tblStylePr>
    <w:tblStylePr w:type="band1Vert">
      <w:tblPr/>
      <w:tcPr>
        <w:shd w:val="clear" w:color="auto" w:fill="F2B98F" w:themeFill="accent2" w:themeFillTint="7F"/>
      </w:tcPr>
    </w:tblStylePr>
    <w:tblStylePr w:type="band1Horz">
      <w:tblPr/>
      <w:tcPr>
        <w:tcBorders>
          <w:insideH w:val="single" w:sz="6" w:space="0" w:color="E5751F" w:themeColor="accent2"/>
          <w:insideV w:val="single" w:sz="6" w:space="0" w:color="E5751F" w:themeColor="accent2"/>
        </w:tcBorders>
        <w:shd w:val="clear" w:color="auto" w:fill="F2B9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cPr>
      <w:shd w:val="clear" w:color="auto" w:fill="DCDDDE" w:themeFill="accent3" w:themeFillTint="3F"/>
    </w:tcPr>
    <w:tblStylePr w:type="firstRow">
      <w:rPr>
        <w:b/>
        <w:bCs/>
        <w:color w:val="000000" w:themeColor="text1"/>
      </w:rPr>
      <w:tblPr/>
      <w:tcPr>
        <w:shd w:val="clear" w:color="auto" w:fill="F1F1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4" w:themeFill="accent3" w:themeFillTint="33"/>
      </w:tcPr>
    </w:tblStylePr>
    <w:tblStylePr w:type="band1Vert">
      <w:tblPr/>
      <w:tcPr>
        <w:shd w:val="clear" w:color="auto" w:fill="B9BBBD" w:themeFill="accent3" w:themeFillTint="7F"/>
      </w:tcPr>
    </w:tblStylePr>
    <w:tblStylePr w:type="band1Horz">
      <w:tblPr/>
      <w:tcPr>
        <w:tcBorders>
          <w:insideH w:val="single" w:sz="6" w:space="0" w:color="75787B" w:themeColor="accent3"/>
          <w:insideV w:val="single" w:sz="6" w:space="0" w:color="75787B" w:themeColor="accent3"/>
        </w:tcBorders>
        <w:shd w:val="clear" w:color="auto" w:fill="B9BBB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cPr>
      <w:shd w:val="clear" w:color="auto" w:fill="E4BCE6" w:themeFill="accent4" w:themeFillTint="3F"/>
    </w:tcPr>
    <w:tblStylePr w:type="firstRow">
      <w:rPr>
        <w:b/>
        <w:bCs/>
        <w:color w:val="000000" w:themeColor="text1"/>
      </w:rPr>
      <w:tblPr/>
      <w:tcPr>
        <w:shd w:val="clear" w:color="auto" w:fill="F4E4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C8EB" w:themeFill="accent4" w:themeFillTint="33"/>
      </w:tcPr>
    </w:tblStylePr>
    <w:tblStylePr w:type="band1Vert">
      <w:tblPr/>
      <w:tcPr>
        <w:shd w:val="clear" w:color="auto" w:fill="C978CD" w:themeFill="accent4" w:themeFillTint="7F"/>
      </w:tcPr>
    </w:tblStylePr>
    <w:tblStylePr w:type="band1Horz">
      <w:tblPr/>
      <w:tcPr>
        <w:tcBorders>
          <w:insideH w:val="single" w:sz="6" w:space="0" w:color="642667" w:themeColor="accent4"/>
          <w:insideV w:val="single" w:sz="6" w:space="0" w:color="642667" w:themeColor="accent4"/>
        </w:tcBorders>
        <w:shd w:val="clear" w:color="auto" w:fill="C978C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cPr>
      <w:shd w:val="clear" w:color="auto" w:fill="D1E2E5" w:themeFill="accent6" w:themeFillTint="3F"/>
    </w:tcPr>
    <w:tblStylePr w:type="firstRow">
      <w:rPr>
        <w:b/>
        <w:bCs/>
        <w:color w:val="000000" w:themeColor="text1"/>
      </w:rPr>
      <w:tblPr/>
      <w:tcPr>
        <w:shd w:val="clear" w:color="auto" w:fill="ECF3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7EA" w:themeFill="accent6" w:themeFillTint="33"/>
      </w:tcPr>
    </w:tblStylePr>
    <w:tblStylePr w:type="band1Vert">
      <w:tblPr/>
      <w:tcPr>
        <w:shd w:val="clear" w:color="auto" w:fill="A3C5CC" w:themeFill="accent6" w:themeFillTint="7F"/>
      </w:tcPr>
    </w:tblStylePr>
    <w:tblStylePr w:type="band1Horz">
      <w:tblPr/>
      <w:tcPr>
        <w:tcBorders>
          <w:insideH w:val="single" w:sz="6" w:space="0" w:color="508590" w:themeColor="accent6"/>
          <w:insideV w:val="single" w:sz="6" w:space="0" w:color="508590" w:themeColor="accent6"/>
        </w:tcBorders>
        <w:shd w:val="clear" w:color="auto" w:fill="A3C5C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B9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1F4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1F4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73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7396"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C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751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751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9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98F"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787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787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BB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BBD"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BCE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26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26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78C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78CD"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2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859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859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C5C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C5CC"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861F4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0F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4173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41730" w:themeFill="accent1" w:themeFillShade="BF"/>
      </w:tcPr>
    </w:tblStylePr>
    <w:tblStylePr w:type="band1Vert">
      <w:tblPr/>
      <w:tcPr>
        <w:tcBorders>
          <w:top w:val="nil"/>
          <w:left w:val="nil"/>
          <w:bottom w:val="nil"/>
          <w:right w:val="nil"/>
          <w:insideH w:val="nil"/>
          <w:insideV w:val="nil"/>
        </w:tcBorders>
        <w:shd w:val="clear" w:color="auto" w:fill="641730" w:themeFill="accent1" w:themeFillShade="BF"/>
      </w:tcPr>
    </w:tblStylePr>
    <w:tblStylePr w:type="band1Horz">
      <w:tblPr/>
      <w:tcPr>
        <w:tcBorders>
          <w:top w:val="nil"/>
          <w:left w:val="nil"/>
          <w:bottom w:val="nil"/>
          <w:right w:val="nil"/>
          <w:insideH w:val="nil"/>
          <w:insideV w:val="nil"/>
        </w:tcBorders>
        <w:shd w:val="clear" w:color="auto" w:fill="641730"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5751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9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E56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E5614" w:themeFill="accent2" w:themeFillShade="BF"/>
      </w:tcPr>
    </w:tblStylePr>
    <w:tblStylePr w:type="band1Vert">
      <w:tblPr/>
      <w:tcPr>
        <w:tcBorders>
          <w:top w:val="nil"/>
          <w:left w:val="nil"/>
          <w:bottom w:val="nil"/>
          <w:right w:val="nil"/>
          <w:insideH w:val="nil"/>
          <w:insideV w:val="nil"/>
        </w:tcBorders>
        <w:shd w:val="clear" w:color="auto" w:fill="AE5614" w:themeFill="accent2" w:themeFillShade="BF"/>
      </w:tcPr>
    </w:tblStylePr>
    <w:tblStylePr w:type="band1Horz">
      <w:tblPr/>
      <w:tcPr>
        <w:tcBorders>
          <w:top w:val="nil"/>
          <w:left w:val="nil"/>
          <w:bottom w:val="nil"/>
          <w:right w:val="nil"/>
          <w:insideH w:val="nil"/>
          <w:insideV w:val="nil"/>
        </w:tcBorders>
        <w:shd w:val="clear" w:color="auto" w:fill="AE561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75787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3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759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7595C" w:themeFill="accent3" w:themeFillShade="BF"/>
      </w:tcPr>
    </w:tblStylePr>
    <w:tblStylePr w:type="band1Vert">
      <w:tblPr/>
      <w:tcPr>
        <w:tcBorders>
          <w:top w:val="nil"/>
          <w:left w:val="nil"/>
          <w:bottom w:val="nil"/>
          <w:right w:val="nil"/>
          <w:insideH w:val="nil"/>
          <w:insideV w:val="nil"/>
        </w:tcBorders>
        <w:shd w:val="clear" w:color="auto" w:fill="57595C" w:themeFill="accent3" w:themeFillShade="BF"/>
      </w:tcPr>
    </w:tblStylePr>
    <w:tblStylePr w:type="band1Horz">
      <w:tblPr/>
      <w:tcPr>
        <w:tcBorders>
          <w:top w:val="nil"/>
          <w:left w:val="nil"/>
          <w:bottom w:val="nil"/>
          <w:right w:val="nil"/>
          <w:insideH w:val="nil"/>
          <w:insideV w:val="nil"/>
        </w:tcBorders>
        <w:shd w:val="clear" w:color="auto" w:fill="57595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6426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133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1C4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1C4C" w:themeFill="accent4" w:themeFillShade="BF"/>
      </w:tcPr>
    </w:tblStylePr>
    <w:tblStylePr w:type="band1Vert">
      <w:tblPr/>
      <w:tcPr>
        <w:tcBorders>
          <w:top w:val="nil"/>
          <w:left w:val="nil"/>
          <w:bottom w:val="nil"/>
          <w:right w:val="nil"/>
          <w:insideH w:val="nil"/>
          <w:insideV w:val="nil"/>
        </w:tcBorders>
        <w:shd w:val="clear" w:color="auto" w:fill="4A1C4C" w:themeFill="accent4" w:themeFillShade="BF"/>
      </w:tcPr>
    </w:tblStylePr>
    <w:tblStylePr w:type="band1Horz">
      <w:tblPr/>
      <w:tcPr>
        <w:tcBorders>
          <w:top w:val="nil"/>
          <w:left w:val="nil"/>
          <w:bottom w:val="nil"/>
          <w:right w:val="nil"/>
          <w:insideH w:val="nil"/>
          <w:insideV w:val="nil"/>
        </w:tcBorders>
        <w:shd w:val="clear" w:color="auto" w:fill="4A1C4C"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50859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424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C636B"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C636B" w:themeFill="accent6" w:themeFillShade="BF"/>
      </w:tcPr>
    </w:tblStylePr>
    <w:tblStylePr w:type="band1Vert">
      <w:tblPr/>
      <w:tcPr>
        <w:tcBorders>
          <w:top w:val="nil"/>
          <w:left w:val="nil"/>
          <w:bottom w:val="nil"/>
          <w:right w:val="nil"/>
          <w:insideH w:val="nil"/>
          <w:insideV w:val="nil"/>
        </w:tcBorders>
        <w:shd w:val="clear" w:color="auto" w:fill="3C636B" w:themeFill="accent6" w:themeFillShade="BF"/>
      </w:tcPr>
    </w:tblStylePr>
    <w:tblStylePr w:type="band1Horz">
      <w:tblPr/>
      <w:tcPr>
        <w:tcBorders>
          <w:top w:val="nil"/>
          <w:left w:val="nil"/>
          <w:bottom w:val="nil"/>
          <w:right w:val="nil"/>
          <w:insideH w:val="nil"/>
          <w:insideV w:val="nil"/>
        </w:tcBorders>
        <w:shd w:val="clear" w:color="auto" w:fill="3C636B"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861F41" w:themeColor="accent1"/>
        <w:bottom w:val="single" w:sz="4" w:space="0" w:color="861F41" w:themeColor="accent1"/>
        <w:right w:val="single" w:sz="4" w:space="0" w:color="861F41" w:themeColor="accent1"/>
        <w:insideH w:val="single" w:sz="4" w:space="0" w:color="FFFFFF" w:themeColor="background1"/>
        <w:insideV w:val="single" w:sz="4" w:space="0" w:color="FFFFFF" w:themeColor="background1"/>
      </w:tblBorders>
    </w:tblPr>
    <w:tcPr>
      <w:shd w:val="clear" w:color="auto" w:fill="F8E3EA" w:themeFill="accen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1226" w:themeFill="accent1" w:themeFillShade="99"/>
      </w:tcPr>
    </w:tblStylePr>
    <w:tblStylePr w:type="firstCol">
      <w:rPr>
        <w:color w:val="FFFFFF" w:themeColor="background1"/>
      </w:rPr>
      <w:tblPr/>
      <w:tcPr>
        <w:tcBorders>
          <w:top w:val="nil"/>
          <w:left w:val="nil"/>
          <w:bottom w:val="nil"/>
          <w:right w:val="nil"/>
          <w:insideH w:val="single" w:sz="4" w:space="0" w:color="501226" w:themeColor="accent1" w:themeShade="99"/>
          <w:insideV w:val="nil"/>
        </w:tcBorders>
        <w:shd w:val="clear" w:color="auto" w:fill="50122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01226" w:themeFill="accent1" w:themeFillShade="99"/>
      </w:tcPr>
    </w:tblStylePr>
    <w:tblStylePr w:type="band1Vert">
      <w:tblPr/>
      <w:tcPr>
        <w:shd w:val="clear" w:color="auto" w:fill="E58EAB" w:themeFill="accent1" w:themeFillTint="66"/>
      </w:tcPr>
    </w:tblStylePr>
    <w:tblStylePr w:type="band1Horz">
      <w:tblPr/>
      <w:tcPr>
        <w:shd w:val="clear" w:color="auto" w:fill="DE73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E5751F" w:themeColor="accent2"/>
        <w:bottom w:val="single" w:sz="4" w:space="0" w:color="E5751F" w:themeColor="accent2"/>
        <w:right w:val="single" w:sz="4" w:space="0" w:color="E5751F" w:themeColor="accent2"/>
        <w:insideH w:val="single" w:sz="4" w:space="0" w:color="FFFFFF" w:themeColor="background1"/>
        <w:insideV w:val="single" w:sz="4" w:space="0" w:color="FFFFFF" w:themeColor="background1"/>
      </w:tblBorders>
    </w:tblPr>
    <w:tcPr>
      <w:shd w:val="clear" w:color="auto" w:fill="FCF1E8" w:themeFill="accent2"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4510" w:themeFill="accent2" w:themeFillShade="99"/>
      </w:tcPr>
    </w:tblStylePr>
    <w:tblStylePr w:type="firstCol">
      <w:rPr>
        <w:color w:val="FFFFFF" w:themeColor="background1"/>
      </w:rPr>
      <w:tblPr/>
      <w:tcPr>
        <w:tcBorders>
          <w:top w:val="nil"/>
          <w:left w:val="nil"/>
          <w:bottom w:val="nil"/>
          <w:right w:val="nil"/>
          <w:insideH w:val="single" w:sz="4" w:space="0" w:color="8B4510" w:themeColor="accent2" w:themeShade="99"/>
          <w:insideV w:val="nil"/>
        </w:tcBorders>
        <w:shd w:val="clear" w:color="auto" w:fill="8B45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B4510" w:themeFill="accent2" w:themeFillShade="99"/>
      </w:tcPr>
    </w:tblStylePr>
    <w:tblStylePr w:type="band1Vert">
      <w:tblPr/>
      <w:tcPr>
        <w:shd w:val="clear" w:color="auto" w:fill="F4C7A5" w:themeFill="accent2" w:themeFillTint="66"/>
      </w:tcPr>
    </w:tblStylePr>
    <w:tblStylePr w:type="band1Horz">
      <w:tblPr/>
      <w:tcPr>
        <w:shd w:val="clear" w:color="auto" w:fill="F2B98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642667" w:themeColor="accent4"/>
        <w:left w:val="single" w:sz="4" w:space="0" w:color="75787B" w:themeColor="accent3"/>
        <w:bottom w:val="single" w:sz="4" w:space="0" w:color="75787B" w:themeColor="accent3"/>
        <w:right w:val="single" w:sz="4" w:space="0" w:color="75787B" w:themeColor="accent3"/>
        <w:insideH w:val="single" w:sz="4" w:space="0" w:color="FFFFFF" w:themeColor="background1"/>
        <w:insideV w:val="single" w:sz="4" w:space="0" w:color="FFFFFF" w:themeColor="background1"/>
      </w:tblBorders>
    </w:tblPr>
    <w:tcPr>
      <w:shd w:val="clear" w:color="auto" w:fill="F1F1F2" w:themeFill="accent3" w:themeFillTint="19"/>
    </w:tcPr>
    <w:tblStylePr w:type="firstRow">
      <w:rPr>
        <w:b/>
        <w:bCs/>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4749" w:themeFill="accent3" w:themeFillShade="99"/>
      </w:tcPr>
    </w:tblStylePr>
    <w:tblStylePr w:type="firstCol">
      <w:rPr>
        <w:color w:val="FFFFFF" w:themeColor="background1"/>
      </w:rPr>
      <w:tblPr/>
      <w:tcPr>
        <w:tcBorders>
          <w:top w:val="nil"/>
          <w:left w:val="nil"/>
          <w:bottom w:val="nil"/>
          <w:right w:val="nil"/>
          <w:insideH w:val="single" w:sz="4" w:space="0" w:color="464749" w:themeColor="accent3" w:themeShade="99"/>
          <w:insideV w:val="nil"/>
        </w:tcBorders>
        <w:shd w:val="clear" w:color="auto" w:fill="46474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64749" w:themeFill="accent3" w:themeFillShade="99"/>
      </w:tcPr>
    </w:tblStylePr>
    <w:tblStylePr w:type="band1Vert">
      <w:tblPr/>
      <w:tcPr>
        <w:shd w:val="clear" w:color="auto" w:fill="C7C8CA" w:themeFill="accent3" w:themeFillTint="66"/>
      </w:tcPr>
    </w:tblStylePr>
    <w:tblStylePr w:type="band1Horz">
      <w:tblPr/>
      <w:tcPr>
        <w:shd w:val="clear" w:color="auto" w:fill="B9BBBD"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75787B" w:themeColor="accent3"/>
        <w:left w:val="single" w:sz="4" w:space="0" w:color="642667" w:themeColor="accent4"/>
        <w:bottom w:val="single" w:sz="4" w:space="0" w:color="642667" w:themeColor="accent4"/>
        <w:right w:val="single" w:sz="4" w:space="0" w:color="642667" w:themeColor="accent4"/>
        <w:insideH w:val="single" w:sz="4" w:space="0" w:color="FFFFFF" w:themeColor="background1"/>
        <w:insideV w:val="single" w:sz="4" w:space="0" w:color="FFFFFF" w:themeColor="background1"/>
      </w:tblBorders>
    </w:tblPr>
    <w:tcPr>
      <w:shd w:val="clear" w:color="auto" w:fill="F4E4F5" w:themeFill="accent4" w:themeFillTint="19"/>
    </w:tcPr>
    <w:tblStylePr w:type="firstRow">
      <w:rPr>
        <w:b/>
        <w:bCs/>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163D" w:themeFill="accent4" w:themeFillShade="99"/>
      </w:tcPr>
    </w:tblStylePr>
    <w:tblStylePr w:type="firstCol">
      <w:rPr>
        <w:color w:val="FFFFFF" w:themeColor="background1"/>
      </w:rPr>
      <w:tblPr/>
      <w:tcPr>
        <w:tcBorders>
          <w:top w:val="nil"/>
          <w:left w:val="nil"/>
          <w:bottom w:val="nil"/>
          <w:right w:val="nil"/>
          <w:insideH w:val="single" w:sz="4" w:space="0" w:color="3B163D" w:themeColor="accent4" w:themeShade="99"/>
          <w:insideV w:val="nil"/>
        </w:tcBorders>
        <w:shd w:val="clear" w:color="auto" w:fill="3B163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163D" w:themeFill="accent4" w:themeFillShade="99"/>
      </w:tcPr>
    </w:tblStylePr>
    <w:tblStylePr w:type="band1Vert">
      <w:tblPr/>
      <w:tcPr>
        <w:shd w:val="clear" w:color="auto" w:fill="D493D7" w:themeFill="accent4" w:themeFillTint="66"/>
      </w:tcPr>
    </w:tblStylePr>
    <w:tblStylePr w:type="band1Horz">
      <w:tblPr/>
      <w:tcPr>
        <w:shd w:val="clear" w:color="auto" w:fill="C978C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508590"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A02B93" w:themeColor="accent5"/>
        <w:left w:val="single" w:sz="4" w:space="0" w:color="508590" w:themeColor="accent6"/>
        <w:bottom w:val="single" w:sz="4" w:space="0" w:color="508590" w:themeColor="accent6"/>
        <w:right w:val="single" w:sz="4" w:space="0" w:color="508590" w:themeColor="accent6"/>
        <w:insideH w:val="single" w:sz="4" w:space="0" w:color="FFFFFF" w:themeColor="background1"/>
        <w:insideV w:val="single" w:sz="4" w:space="0" w:color="FFFFFF" w:themeColor="background1"/>
      </w:tblBorders>
    </w:tblPr>
    <w:tcPr>
      <w:shd w:val="clear" w:color="auto" w:fill="ECF3F5"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4F56" w:themeFill="accent6" w:themeFillShade="99"/>
      </w:tcPr>
    </w:tblStylePr>
    <w:tblStylePr w:type="firstCol">
      <w:rPr>
        <w:color w:val="FFFFFF" w:themeColor="background1"/>
      </w:rPr>
      <w:tblPr/>
      <w:tcPr>
        <w:tcBorders>
          <w:top w:val="nil"/>
          <w:left w:val="nil"/>
          <w:bottom w:val="nil"/>
          <w:right w:val="nil"/>
          <w:insideH w:val="single" w:sz="4" w:space="0" w:color="304F56" w:themeColor="accent6" w:themeShade="99"/>
          <w:insideV w:val="nil"/>
        </w:tcBorders>
        <w:shd w:val="clear" w:color="auto" w:fill="304F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04F56" w:themeFill="accent6" w:themeFillShade="99"/>
      </w:tcPr>
    </w:tblStylePr>
    <w:tblStylePr w:type="band1Vert">
      <w:tblPr/>
      <w:tcPr>
        <w:shd w:val="clear" w:color="auto" w:fill="B5D0D6" w:themeFill="accent6" w:themeFillTint="66"/>
      </w:tcPr>
    </w:tblStylePr>
    <w:tblStylePr w:type="band1Horz">
      <w:tblPr/>
      <w:tcPr>
        <w:shd w:val="clear" w:color="auto" w:fill="A3C5CC"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8E3EA" w:themeFill="accen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B9CB" w:themeFill="accent1" w:themeFillTint="3F"/>
      </w:tcPr>
    </w:tblStylePr>
    <w:tblStylePr w:type="band1Horz">
      <w:tblPr/>
      <w:tcPr>
        <w:shd w:val="clear" w:color="auto" w:fill="F2C6D5"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1E8" w:themeFill="accent2"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CC7" w:themeFill="accent2" w:themeFillTint="3F"/>
      </w:tcPr>
    </w:tblStylePr>
    <w:tblStylePr w:type="band1Horz">
      <w:tblPr/>
      <w:tcPr>
        <w:shd w:val="clear" w:color="auto" w:fill="F9E3D2"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1F1F2" w:themeFill="accent3" w:themeFillTint="19"/>
    </w:tcPr>
    <w:tblStylePr w:type="firstRow">
      <w:rPr>
        <w:b/>
        <w:bCs/>
        <w:color w:val="FFFFFF" w:themeColor="background1"/>
      </w:rPr>
      <w:tblPr/>
      <w:tcPr>
        <w:tcBorders>
          <w:bottom w:val="single" w:sz="12" w:space="0" w:color="FFFFFF" w:themeColor="background1"/>
        </w:tcBorders>
        <w:shd w:val="clear" w:color="auto" w:fill="4F1E52" w:themeFill="accent4" w:themeFillShade="CC"/>
      </w:tcPr>
    </w:tblStylePr>
    <w:tblStylePr w:type="lastRow">
      <w:rPr>
        <w:b/>
        <w:bCs/>
        <w:color w:val="4F1E5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3" w:themeFillTint="3F"/>
      </w:tcPr>
    </w:tblStylePr>
    <w:tblStylePr w:type="band1Horz">
      <w:tblPr/>
      <w:tcPr>
        <w:shd w:val="clear" w:color="auto" w:fill="E3E3E4"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4E4F5" w:themeFill="accent4" w:themeFillTint="19"/>
    </w:tcPr>
    <w:tblStylePr w:type="firstRow">
      <w:rPr>
        <w:b/>
        <w:bCs/>
        <w:color w:val="FFFFFF" w:themeColor="background1"/>
      </w:rPr>
      <w:tblPr/>
      <w:tcPr>
        <w:tcBorders>
          <w:bottom w:val="single" w:sz="12" w:space="0" w:color="FFFFFF" w:themeColor="background1"/>
        </w:tcBorders>
        <w:shd w:val="clear" w:color="auto" w:fill="5D5F62" w:themeFill="accent3" w:themeFillShade="CC"/>
      </w:tcPr>
    </w:tblStylePr>
    <w:tblStylePr w:type="lastRow">
      <w:rPr>
        <w:b/>
        <w:bCs/>
        <w:color w:val="5D5F6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BCE6" w:themeFill="accent4" w:themeFillTint="3F"/>
      </w:tcPr>
    </w:tblStylePr>
    <w:tblStylePr w:type="band1Horz">
      <w:tblPr/>
      <w:tcPr>
        <w:shd w:val="clear" w:color="auto" w:fill="E9C8EB"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406A73" w:themeFill="accent6" w:themeFillShade="CC"/>
      </w:tcPr>
    </w:tblStylePr>
    <w:tblStylePr w:type="lastRow">
      <w:rPr>
        <w:b/>
        <w:bCs/>
        <w:color w:val="406A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CF3F5"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2E5" w:themeFill="accent6" w:themeFillTint="3F"/>
      </w:tcPr>
    </w:tblStylePr>
    <w:tblStylePr w:type="band1Horz">
      <w:tblPr/>
      <w:tcPr>
        <w:shd w:val="clear" w:color="auto" w:fill="DAE7EA"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6D5" w:themeFill="accent1" w:themeFillTint="33"/>
    </w:tcPr>
    <w:tblStylePr w:type="firstRow">
      <w:rPr>
        <w:b/>
        <w:bCs/>
      </w:rPr>
      <w:tblPr/>
      <w:tcPr>
        <w:shd w:val="clear" w:color="auto" w:fill="E58EAB" w:themeFill="accent1" w:themeFillTint="66"/>
      </w:tcPr>
    </w:tblStylePr>
    <w:tblStylePr w:type="lastRow">
      <w:rPr>
        <w:b/>
        <w:bCs/>
        <w:color w:val="000000" w:themeColor="text1"/>
      </w:rPr>
      <w:tblPr/>
      <w:tcPr>
        <w:shd w:val="clear" w:color="auto" w:fill="E58EAB" w:themeFill="accent1" w:themeFillTint="66"/>
      </w:tcPr>
    </w:tblStylePr>
    <w:tblStylePr w:type="firstCol">
      <w:rPr>
        <w:color w:val="FFFFFF" w:themeColor="background1"/>
      </w:rPr>
      <w:tblPr/>
      <w:tcPr>
        <w:shd w:val="clear" w:color="auto" w:fill="641730" w:themeFill="accent1" w:themeFillShade="BF"/>
      </w:tcPr>
    </w:tblStylePr>
    <w:tblStylePr w:type="lastCol">
      <w:rPr>
        <w:color w:val="FFFFFF" w:themeColor="background1"/>
      </w:rPr>
      <w:tblPr/>
      <w:tcPr>
        <w:shd w:val="clear" w:color="auto" w:fill="641730" w:themeFill="accent1" w:themeFillShade="BF"/>
      </w:tc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3D2" w:themeFill="accent2" w:themeFillTint="33"/>
    </w:tcPr>
    <w:tblStylePr w:type="firstRow">
      <w:rPr>
        <w:b/>
        <w:bCs/>
      </w:rPr>
      <w:tblPr/>
      <w:tcPr>
        <w:shd w:val="clear" w:color="auto" w:fill="F4C7A5" w:themeFill="accent2" w:themeFillTint="66"/>
      </w:tcPr>
    </w:tblStylePr>
    <w:tblStylePr w:type="lastRow">
      <w:rPr>
        <w:b/>
        <w:bCs/>
        <w:color w:val="000000" w:themeColor="text1"/>
      </w:rPr>
      <w:tblPr/>
      <w:tcPr>
        <w:shd w:val="clear" w:color="auto" w:fill="F4C7A5" w:themeFill="accent2" w:themeFillTint="66"/>
      </w:tcPr>
    </w:tblStylePr>
    <w:tblStylePr w:type="firstCol">
      <w:rPr>
        <w:color w:val="FFFFFF" w:themeColor="background1"/>
      </w:rPr>
      <w:tblPr/>
      <w:tcPr>
        <w:shd w:val="clear" w:color="auto" w:fill="AE5614" w:themeFill="accent2" w:themeFillShade="BF"/>
      </w:tcPr>
    </w:tblStylePr>
    <w:tblStylePr w:type="lastCol">
      <w:rPr>
        <w:color w:val="FFFFFF" w:themeColor="background1"/>
      </w:rPr>
      <w:tblPr/>
      <w:tcPr>
        <w:shd w:val="clear" w:color="auto" w:fill="AE5614" w:themeFill="accent2" w:themeFillShade="BF"/>
      </w:tc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3E4" w:themeFill="accent3" w:themeFillTint="33"/>
    </w:tcPr>
    <w:tblStylePr w:type="firstRow">
      <w:rPr>
        <w:b/>
        <w:bCs/>
      </w:rPr>
      <w:tblPr/>
      <w:tcPr>
        <w:shd w:val="clear" w:color="auto" w:fill="C7C8CA" w:themeFill="accent3" w:themeFillTint="66"/>
      </w:tcPr>
    </w:tblStylePr>
    <w:tblStylePr w:type="lastRow">
      <w:rPr>
        <w:b/>
        <w:bCs/>
        <w:color w:val="000000" w:themeColor="text1"/>
      </w:rPr>
      <w:tblPr/>
      <w:tcPr>
        <w:shd w:val="clear" w:color="auto" w:fill="C7C8CA" w:themeFill="accent3" w:themeFillTint="66"/>
      </w:tcPr>
    </w:tblStylePr>
    <w:tblStylePr w:type="firstCol">
      <w:rPr>
        <w:color w:val="FFFFFF" w:themeColor="background1"/>
      </w:rPr>
      <w:tblPr/>
      <w:tcPr>
        <w:shd w:val="clear" w:color="auto" w:fill="57595C" w:themeFill="accent3" w:themeFillShade="BF"/>
      </w:tcPr>
    </w:tblStylePr>
    <w:tblStylePr w:type="lastCol">
      <w:rPr>
        <w:color w:val="FFFFFF" w:themeColor="background1"/>
      </w:rPr>
      <w:tblPr/>
      <w:tcPr>
        <w:shd w:val="clear" w:color="auto" w:fill="57595C" w:themeFill="accent3" w:themeFillShade="BF"/>
      </w:tc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C8EB" w:themeFill="accent4" w:themeFillTint="33"/>
    </w:tcPr>
    <w:tblStylePr w:type="firstRow">
      <w:rPr>
        <w:b/>
        <w:bCs/>
      </w:rPr>
      <w:tblPr/>
      <w:tcPr>
        <w:shd w:val="clear" w:color="auto" w:fill="D493D7" w:themeFill="accent4" w:themeFillTint="66"/>
      </w:tcPr>
    </w:tblStylePr>
    <w:tblStylePr w:type="lastRow">
      <w:rPr>
        <w:b/>
        <w:bCs/>
        <w:color w:val="000000" w:themeColor="text1"/>
      </w:rPr>
      <w:tblPr/>
      <w:tcPr>
        <w:shd w:val="clear" w:color="auto" w:fill="D493D7" w:themeFill="accent4" w:themeFillTint="66"/>
      </w:tcPr>
    </w:tblStylePr>
    <w:tblStylePr w:type="firstCol">
      <w:rPr>
        <w:color w:val="FFFFFF" w:themeColor="background1"/>
      </w:rPr>
      <w:tblPr/>
      <w:tcPr>
        <w:shd w:val="clear" w:color="auto" w:fill="4A1C4C" w:themeFill="accent4" w:themeFillShade="BF"/>
      </w:tcPr>
    </w:tblStylePr>
    <w:tblStylePr w:type="lastCol">
      <w:rPr>
        <w:color w:val="FFFFFF" w:themeColor="background1"/>
      </w:rPr>
      <w:tblPr/>
      <w:tcPr>
        <w:shd w:val="clear" w:color="auto" w:fill="4A1C4C" w:themeFill="accent4" w:themeFillShade="BF"/>
      </w:tc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7EA" w:themeFill="accent6" w:themeFillTint="33"/>
    </w:tcPr>
    <w:tblStylePr w:type="firstRow">
      <w:rPr>
        <w:b/>
        <w:bCs/>
      </w:rPr>
      <w:tblPr/>
      <w:tcPr>
        <w:shd w:val="clear" w:color="auto" w:fill="B5D0D6" w:themeFill="accent6" w:themeFillTint="66"/>
      </w:tcPr>
    </w:tblStylePr>
    <w:tblStylePr w:type="lastRow">
      <w:rPr>
        <w:b/>
        <w:bCs/>
        <w:color w:val="000000" w:themeColor="text1"/>
      </w:rPr>
      <w:tblPr/>
      <w:tcPr>
        <w:shd w:val="clear" w:color="auto" w:fill="B5D0D6" w:themeFill="accent6" w:themeFillTint="66"/>
      </w:tcPr>
    </w:tblStylePr>
    <w:tblStylePr w:type="firstCol">
      <w:rPr>
        <w:color w:val="FFFFFF" w:themeColor="background1"/>
      </w:rPr>
      <w:tblPr/>
      <w:tcPr>
        <w:shd w:val="clear" w:color="auto" w:fill="3C636B" w:themeFill="accent6" w:themeFillShade="BF"/>
      </w:tcPr>
    </w:tblStylePr>
    <w:tblStylePr w:type="lastCol">
      <w:rPr>
        <w:color w:val="FFFFFF" w:themeColor="background1"/>
      </w:rPr>
      <w:tblPr/>
      <w:tcPr>
        <w:shd w:val="clear" w:color="auto" w:fill="3C636B" w:themeFill="accent6" w:themeFillShade="BF"/>
      </w:tc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character" w:styleId="Hyperlink">
    <w:name w:val="Hyperlink"/>
    <w:basedOn w:val="DefaultParagraphFont"/>
    <w:uiPriority w:val="99"/>
    <w:unhideWhenUsed/>
    <w:rsid w:val="00FE38B9"/>
    <w:rPr>
      <w:color w:val="E5751F" w:themeColor="hyperlink"/>
      <w:u w:val="single"/>
    </w:rPr>
  </w:style>
  <w:style w:type="character" w:styleId="UnresolvedMention">
    <w:name w:val="Unresolved Mention"/>
    <w:basedOn w:val="DefaultParagraphFont"/>
    <w:uiPriority w:val="99"/>
    <w:semiHidden/>
    <w:unhideWhenUsed/>
    <w:rsid w:val="00FE38B9"/>
    <w:rPr>
      <w:color w:val="605E5C"/>
      <w:shd w:val="clear" w:color="auto" w:fill="E1DFDD"/>
    </w:rPr>
  </w:style>
  <w:style w:type="table" w:styleId="GridTable2-Accent3">
    <w:name w:val="Grid Table 2 Accent 3"/>
    <w:basedOn w:val="TableNormal"/>
    <w:uiPriority w:val="47"/>
    <w:rsid w:val="00650484"/>
    <w:pPr>
      <w:spacing w:after="0" w:line="240" w:lineRule="auto"/>
    </w:pPr>
    <w:tblPr>
      <w:tblStyleRowBandSize w:val="1"/>
      <w:tblStyleColBandSize w:val="1"/>
      <w:tblBorders>
        <w:top w:val="single" w:sz="2" w:space="0" w:color="ABADB0" w:themeColor="accent3" w:themeTint="99"/>
        <w:bottom w:val="single" w:sz="2" w:space="0" w:color="ABADB0" w:themeColor="accent3" w:themeTint="99"/>
        <w:insideH w:val="single" w:sz="2" w:space="0" w:color="ABADB0" w:themeColor="accent3" w:themeTint="99"/>
        <w:insideV w:val="single" w:sz="2" w:space="0" w:color="ABADB0" w:themeColor="accent3" w:themeTint="99"/>
      </w:tblBorders>
    </w:tblPr>
    <w:tblStylePr w:type="firstRow">
      <w:rPr>
        <w:b/>
        <w:bCs/>
      </w:rPr>
      <w:tblPr/>
      <w:tcPr>
        <w:tcBorders>
          <w:top w:val="nil"/>
          <w:bottom w:val="single" w:sz="12" w:space="0" w:color="ABADB0" w:themeColor="accent3" w:themeTint="99"/>
          <w:insideH w:val="nil"/>
          <w:insideV w:val="nil"/>
        </w:tcBorders>
        <w:shd w:val="clear" w:color="auto" w:fill="FFFFFF" w:themeFill="background1"/>
      </w:tcPr>
    </w:tblStylePr>
    <w:tblStylePr w:type="lastRow">
      <w:rPr>
        <w:b/>
        <w:bCs/>
      </w:rPr>
      <w:tblPr/>
      <w:tcPr>
        <w:tcBorders>
          <w:top w:val="double" w:sz="2" w:space="0" w:color="ABADB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character" w:styleId="FollowedHyperlink">
    <w:name w:val="FollowedHyperlink"/>
    <w:basedOn w:val="DefaultParagraphFont"/>
    <w:uiPriority w:val="99"/>
    <w:semiHidden/>
    <w:unhideWhenUsed/>
    <w:rsid w:val="00BB6CCE"/>
    <w:rPr>
      <w:color w:val="861F4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yright.gov/circs/circ01.pdf" TargetMode="External"/><Relationship Id="rId13" Type="http://schemas.openxmlformats.org/officeDocument/2006/relationships/chart" Target="charts/chart1.xml"/><Relationship Id="rId18" Type="http://schemas.openxmlformats.org/officeDocument/2006/relationships/hyperlink" Target="https://rdw.rowan.edu/libraryworkshops/1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nk.springer.com/chapter/10.1007/978-3-031-83541-4_8" TargetMode="External"/><Relationship Id="rId17" Type="http://schemas.openxmlformats.org/officeDocument/2006/relationships/hyperlink" Target="https://arsny.com/artists-rights-101/" TargetMode="External"/><Relationship Id="rId2" Type="http://schemas.openxmlformats.org/officeDocument/2006/relationships/numbering" Target="numbering.xml"/><Relationship Id="rId16" Type="http://schemas.openxmlformats.org/officeDocument/2006/relationships/hyperlink" Target="https://www.copyright.gov/circs/circ0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dw.rowan.edu/libraryworkshops/12" TargetMode="External"/><Relationship Id="rId5" Type="http://schemas.openxmlformats.org/officeDocument/2006/relationships/webSettings" Target="webSettings.xml"/><Relationship Id="rId15" Type="http://schemas.openxmlformats.org/officeDocument/2006/relationships/hyperlink" Target="https://creativecommons.org/licenses/" TargetMode="External"/><Relationship Id="rId10" Type="http://schemas.openxmlformats.org/officeDocument/2006/relationships/hyperlink" Target="https://arsny.com/artists-rights-101/" TargetMode="External"/><Relationship Id="rId19" Type="http://schemas.openxmlformats.org/officeDocument/2006/relationships/hyperlink" Target="https://link.springer.com/chapter/10.1007/978-3-031-83541-4_8" TargetMode="External"/><Relationship Id="rId4" Type="http://schemas.openxmlformats.org/officeDocument/2006/relationships/settings" Target="settings.xml"/><Relationship Id="rId9" Type="http://schemas.openxmlformats.org/officeDocument/2006/relationships/hyperlink" Target="https://creativecommons.org/licenses/" TargetMode="External"/><Relationship Id="rId14" Type="http://schemas.openxmlformats.org/officeDocument/2006/relationships/hyperlink" Target="mailto:jane.doe@vt.edu"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j-lt"/>
                <a:ea typeface="+mn-ea"/>
                <a:cs typeface="+mn-cs"/>
              </a:defRPr>
            </a:pPr>
            <a:r>
              <a:rPr lang="en-US" sz="1500" b="1"/>
              <a:t>Gantt</a:t>
            </a:r>
            <a:r>
              <a:rPr lang="en-US" sz="1500" b="1" baseline="0"/>
              <a:t> Chart for Informational Report</a:t>
            </a:r>
            <a:endParaRPr lang="en-US" sz="1500"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Sheet1!$B$2:$B$7</c:f>
              <c:numCache>
                <c:formatCode>m/d;@</c:formatCode>
                <c:ptCount val="6"/>
                <c:pt idx="0">
                  <c:v>45974</c:v>
                </c:pt>
                <c:pt idx="1">
                  <c:v>45972</c:v>
                </c:pt>
                <c:pt idx="2">
                  <c:v>45966</c:v>
                </c:pt>
                <c:pt idx="3">
                  <c:v>45960</c:v>
                </c:pt>
                <c:pt idx="4">
                  <c:v>45957</c:v>
                </c:pt>
                <c:pt idx="5">
                  <c:v>45945</c:v>
                </c:pt>
              </c:numCache>
            </c:numRef>
          </c:val>
          <c:extLst>
            <c:ext xmlns:c16="http://schemas.microsoft.com/office/drawing/2014/chart" uri="{C3380CC4-5D6E-409C-BE32-E72D297353CC}">
              <c16:uniqueId val="{00000000-4A0A-4DDE-BA43-C5D889A3CF2F}"/>
            </c:ext>
          </c:extLst>
        </c:ser>
        <c:ser>
          <c:idx val="2"/>
          <c:order val="2"/>
          <c:tx>
            <c:strRef>
              <c:f>Sheet1!$D$1</c:f>
              <c:strCache>
                <c:ptCount val="1"/>
                <c:pt idx="0">
                  <c:v>Duration</c:v>
                </c:pt>
              </c:strCache>
            </c:strRef>
          </c:tx>
          <c:spPr>
            <a:solidFill>
              <a:schemeClr val="accent1"/>
            </a:solidFill>
            <a:ln>
              <a:noFill/>
            </a:ln>
            <a:effectLst>
              <a:outerShdw blurRad="50800" dist="38100" dir="2700000" algn="tl" rotWithShape="0">
                <a:prstClr val="black">
                  <a:alpha val="40000"/>
                </a:prstClr>
              </a:outerShdw>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Sheet1!$D$2:$D$7</c:f>
              <c:numCache>
                <c:formatCode>General</c:formatCode>
                <c:ptCount val="6"/>
                <c:pt idx="0">
                  <c:v>1</c:v>
                </c:pt>
                <c:pt idx="1">
                  <c:v>2</c:v>
                </c:pt>
                <c:pt idx="2">
                  <c:v>5</c:v>
                </c:pt>
                <c:pt idx="3">
                  <c:v>6</c:v>
                </c:pt>
                <c:pt idx="4">
                  <c:v>2</c:v>
                </c:pt>
                <c:pt idx="5">
                  <c:v>11</c:v>
                </c:pt>
              </c:numCache>
            </c:numRef>
          </c:val>
          <c:extLst>
            <c:ext xmlns:c16="http://schemas.microsoft.com/office/drawing/2014/chart" uri="{C3380CC4-5D6E-409C-BE32-E72D297353CC}">
              <c16:uniqueId val="{00000002-4A0A-4DDE-BA43-C5D889A3CF2F}"/>
            </c:ext>
          </c:extLst>
        </c:ser>
        <c:ser>
          <c:idx val="3"/>
          <c:order val="3"/>
          <c:tx>
            <c:strRef>
              <c:f>Sheet1!$E$1</c:f>
              <c:strCache>
                <c:ptCount val="1"/>
              </c:strCache>
            </c:strRef>
          </c:tx>
          <c:spPr>
            <a:solidFill>
              <a:schemeClr val="accent4"/>
            </a:solidFill>
            <a:ln>
              <a:noFill/>
            </a:ln>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Sheet1!$E$2:$E$7</c:f>
              <c:numCache>
                <c:formatCode>General</c:formatCode>
                <c:ptCount val="6"/>
              </c:numCache>
            </c:numRef>
          </c:val>
          <c:extLst>
            <c:ext xmlns:c16="http://schemas.microsoft.com/office/drawing/2014/chart" uri="{C3380CC4-5D6E-409C-BE32-E72D297353CC}">
              <c16:uniqueId val="{00000003-4A0A-4DDE-BA43-C5D889A3CF2F}"/>
            </c:ext>
          </c:extLst>
        </c:ser>
        <c:ser>
          <c:idx val="4"/>
          <c:order val="4"/>
          <c:tx>
            <c:strRef>
              <c:f>Sheet1!$F$1</c:f>
              <c:strCache>
                <c:ptCount val="1"/>
              </c:strCache>
            </c:strRef>
          </c:tx>
          <c:spPr>
            <a:solidFill>
              <a:schemeClr val="accent5"/>
            </a:solidFill>
            <a:ln>
              <a:noFill/>
            </a:ln>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Sheet1!$F$2:$F$7</c:f>
              <c:numCache>
                <c:formatCode>General</c:formatCode>
                <c:ptCount val="6"/>
              </c:numCache>
            </c:numRef>
          </c:val>
          <c:extLst>
            <c:ext xmlns:c16="http://schemas.microsoft.com/office/drawing/2014/chart" uri="{C3380CC4-5D6E-409C-BE32-E72D297353CC}">
              <c16:uniqueId val="{00000004-4A0A-4DDE-BA43-C5D889A3CF2F}"/>
            </c:ext>
          </c:extLst>
        </c:ser>
        <c:dLbls>
          <c:showLegendKey val="0"/>
          <c:showVal val="0"/>
          <c:showCatName val="0"/>
          <c:showSerName val="0"/>
          <c:showPercent val="0"/>
          <c:showBubbleSize val="0"/>
        </c:dLbls>
        <c:gapWidth val="150"/>
        <c:overlap val="100"/>
        <c:axId val="124818656"/>
        <c:axId val="1248124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Sheet1!$A$2:$A$7</c15:sqref>
                        </c15:formulaRef>
                      </c:ext>
                    </c:extLst>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extLst>
                      <c:ext uri="{02D57815-91ED-43cb-92C2-25804820EDAC}">
                        <c15:formulaRef>
                          <c15:sqref>Sheet1!$C$2:$C$7</c15:sqref>
                        </c15:formulaRef>
                      </c:ext>
                    </c:extLst>
                    <c:numCache>
                      <c:formatCode>m/d;@</c:formatCode>
                      <c:ptCount val="6"/>
                      <c:pt idx="0">
                        <c:v>45975</c:v>
                      </c:pt>
                      <c:pt idx="1">
                        <c:v>45974</c:v>
                      </c:pt>
                      <c:pt idx="2">
                        <c:v>45971</c:v>
                      </c:pt>
                      <c:pt idx="3">
                        <c:v>45966</c:v>
                      </c:pt>
                      <c:pt idx="4">
                        <c:v>45959</c:v>
                      </c:pt>
                      <c:pt idx="5">
                        <c:v>45956</c:v>
                      </c:pt>
                    </c:numCache>
                  </c:numRef>
                </c:val>
                <c:extLst>
                  <c:ext xmlns:c16="http://schemas.microsoft.com/office/drawing/2014/chart" uri="{C3380CC4-5D6E-409C-BE32-E72D297353CC}">
                    <c16:uniqueId val="{00000001-4A0A-4DDE-BA43-C5D889A3CF2F}"/>
                  </c:ext>
                </c:extLst>
              </c15:ser>
            </c15:filteredBarSeries>
          </c:ext>
        </c:extLst>
      </c:barChart>
      <c:catAx>
        <c:axId val="124818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124812416"/>
        <c:crosses val="autoZero"/>
        <c:auto val="1"/>
        <c:lblAlgn val="ctr"/>
        <c:lblOffset val="100"/>
        <c:noMultiLvlLbl val="0"/>
      </c:catAx>
      <c:valAx>
        <c:axId val="124812416"/>
        <c:scaling>
          <c:orientation val="minMax"/>
        </c:scaling>
        <c:delete val="0"/>
        <c:axPos val="b"/>
        <c:majorGridlines>
          <c:spPr>
            <a:ln w="9525" cap="flat" cmpd="sng" algn="ctr">
              <a:solidFill>
                <a:schemeClr val="tx1">
                  <a:lumMod val="15000"/>
                  <a:lumOff val="85000"/>
                </a:schemeClr>
              </a:solidFill>
              <a:round/>
            </a:ln>
            <a:effectLst/>
          </c:spPr>
        </c:majorGridlines>
        <c:numFmt formatCode="m/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248186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ten grrl</cp:lastModifiedBy>
  <cp:revision>3</cp:revision>
  <dcterms:created xsi:type="dcterms:W3CDTF">2013-12-23T23:15:00Z</dcterms:created>
  <dcterms:modified xsi:type="dcterms:W3CDTF">2025-09-22T21:11:00Z</dcterms:modified>
  <cp:category/>
</cp:coreProperties>
</file>