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4B0DC7">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4B0DC7"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6456DA26"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 xml:space="preserve">Your video </w:t>
      </w:r>
      <w:r w:rsidR="000D46F7">
        <w:t>should</w:t>
      </w:r>
      <w:r w:rsidR="00F26BFA">
        <w:t xml:space="preserve"> be 3 to 5 minutes </w:t>
      </w:r>
      <w:r w:rsidR="000D46F7" w:rsidRPr="000D46F7">
        <w:t>long and should show either yourself talking to the audience or slides that illustrate your story.</w:t>
      </w:r>
      <w:r w:rsidR="00F26BFA">
        <w:t>.</w:t>
      </w:r>
    </w:p>
    <w:p w14:paraId="3A9C74E5" w14:textId="72FBD3BF" w:rsidR="00F83A08" w:rsidRPr="00877DF6" w:rsidRDefault="00F26BFA" w:rsidP="00877DF6">
      <w:r>
        <w:t>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1149362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 xml:space="preserve">ou will share your </w:t>
      </w:r>
      <w:r w:rsidR="00771A6E">
        <w:rPr>
          <w:rFonts w:eastAsia="Arial"/>
        </w:rPr>
        <w:t>report</w:t>
      </w:r>
      <w:r w:rsidR="00D0781C">
        <w:rPr>
          <w:rFonts w:eastAsia="Arial"/>
        </w:rPr>
        <w:t xml:space="preserve">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003852F"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4D78F5">
              <w:t>six</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37FC2350" w:rsidR="00C54638" w:rsidRPr="007156BC" w:rsidRDefault="004D78F5"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07A0346F"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4D78F5">
              <w:t>six</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0F3A29D8" w:rsidR="00C54638" w:rsidRDefault="004D78F5"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6B434954"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4D78F5">
              <w:t>six</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63BC67F9" w:rsidR="00C54638" w:rsidRPr="007156BC" w:rsidRDefault="004D78F5"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C54638" w:rsidRPr="007156BC">
              <w:t xml:space="preserve"> </w:t>
            </w:r>
            <w:r w:rsidR="00C54638">
              <w:t>Full Draft</w:t>
            </w:r>
            <w:r w:rsidR="00C54638"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1C9C9" w14:textId="77777777" w:rsidR="004B0DC7" w:rsidRDefault="004B0DC7" w:rsidP="00F32DB7">
      <w:r>
        <w:separator/>
      </w:r>
    </w:p>
  </w:endnote>
  <w:endnote w:type="continuationSeparator" w:id="0">
    <w:p w14:paraId="044F0667" w14:textId="77777777" w:rsidR="004B0DC7" w:rsidRDefault="004B0DC7"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4B0DC7"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E70C" w14:textId="77777777" w:rsidR="004B0DC7" w:rsidRDefault="004B0DC7" w:rsidP="00F32DB7">
      <w:r>
        <w:separator/>
      </w:r>
    </w:p>
  </w:footnote>
  <w:footnote w:type="continuationSeparator" w:id="0">
    <w:p w14:paraId="39E40E82" w14:textId="77777777" w:rsidR="004B0DC7" w:rsidRDefault="004B0DC7"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46F7"/>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DC7"/>
    <w:rsid w:val="004B0E70"/>
    <w:rsid w:val="004B1687"/>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1A6E"/>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057"/>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15</Pages>
  <Words>4270</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98</cp:revision>
  <cp:lastPrinted>2022-05-20T22:53:00Z</cp:lastPrinted>
  <dcterms:created xsi:type="dcterms:W3CDTF">2021-12-08T09:52:00Z</dcterms:created>
  <dcterms:modified xsi:type="dcterms:W3CDTF">2022-06-25T06:31:00Z</dcterms:modified>
</cp:coreProperties>
</file>