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B9314" w14:textId="77777777" w:rsidR="000A3ABB" w:rsidRDefault="000A3ABB">
      <w:pPr>
        <w:pStyle w:val="Cabealho"/>
        <w:rPr>
          <w:b/>
          <w:sz w:val="28"/>
        </w:rPr>
      </w:pPr>
    </w:p>
    <w:p w14:paraId="03463445" w14:textId="77777777" w:rsidR="000A3ABB" w:rsidRDefault="000A3ABB">
      <w:pPr>
        <w:pStyle w:val="Cabealho"/>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Cabealho"/>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77777777" w:rsidR="000A3ABB" w:rsidRPr="00BD7852" w:rsidRDefault="00BD7852">
      <w:pPr>
        <w:pStyle w:val="Cabealho"/>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Pr>
          <w:b/>
          <w:i/>
          <w:sz w:val="36"/>
        </w:rPr>
        <w:t>Customer</w:t>
      </w:r>
    </w:p>
    <w:p w14:paraId="59C92B18" w14:textId="77777777" w:rsidR="000A3ABB" w:rsidRPr="00BD7852" w:rsidRDefault="000A3ABB">
      <w:pPr>
        <w:pStyle w:val="Cabealho"/>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AC1517" w:rsidR="000A3ABB" w:rsidRDefault="00913F43">
      <w:pPr>
        <w:pStyle w:val="Cabealho"/>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proofErr w:type="spellStart"/>
      <w:r>
        <w:rPr>
          <w:bCs/>
          <w:color w:val="0000FF"/>
          <w:sz w:val="36"/>
        </w:rPr>
        <w:t>Trackerforce</w:t>
      </w:r>
      <w:proofErr w:type="spellEnd"/>
    </w:p>
    <w:p w14:paraId="7926D337" w14:textId="77777777" w:rsidR="000A3ABB" w:rsidRDefault="000A3ABB">
      <w:pPr>
        <w:pStyle w:val="Cabealho"/>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77777777" w:rsidR="000A3ABB" w:rsidRDefault="000A3ABB">
      <w:pPr>
        <w:pStyle w:val="Cabealho"/>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10-08-2010</w:t>
      </w:r>
    </w:p>
    <w:p w14:paraId="4C315134" w14:textId="77777777" w:rsidR="000A3ABB" w:rsidRDefault="000A3ABB">
      <w:pPr>
        <w:pStyle w:val="Cabealho"/>
        <w:rPr>
          <w:b/>
        </w:rPr>
      </w:pPr>
    </w:p>
    <w:p w14:paraId="1B05055E" w14:textId="77777777" w:rsidR="000A3ABB" w:rsidRDefault="000A3ABB">
      <w:pPr>
        <w:pStyle w:val="Cabealho"/>
        <w:rPr>
          <w:b/>
        </w:rPr>
      </w:pPr>
    </w:p>
    <w:p w14:paraId="2AABB9F2" w14:textId="77777777" w:rsidR="000A3ABB" w:rsidRDefault="000A3ABB">
      <w:pPr>
        <w:pStyle w:val="Cabealho"/>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Corpodetexto"/>
              <w:spacing w:before="20" w:after="20"/>
              <w:rPr>
                <w:b/>
                <w:bCs/>
                <w:sz w:val="24"/>
                <w:szCs w:val="24"/>
              </w:rPr>
            </w:pPr>
            <w:r>
              <w:rPr>
                <w:b/>
                <w:bCs/>
                <w:sz w:val="24"/>
                <w:szCs w:val="24"/>
              </w:rPr>
              <w:t>Document Owner:</w:t>
            </w:r>
          </w:p>
        </w:tc>
        <w:tc>
          <w:tcPr>
            <w:tcW w:w="5580" w:type="dxa"/>
          </w:tcPr>
          <w:p w14:paraId="1411FACD" w14:textId="77777777" w:rsidR="000A3ABB" w:rsidRDefault="00BD7852">
            <w:pPr>
              <w:pStyle w:val="Corpodetexto"/>
              <w:spacing w:before="20" w:after="20"/>
              <w:rPr>
                <w:color w:val="0000FF"/>
              </w:rPr>
            </w:pPr>
            <w:r>
              <w:rPr>
                <w:color w:val="0000FF"/>
              </w:rPr>
              <w:t>Company name</w:t>
            </w:r>
          </w:p>
        </w:tc>
      </w:tr>
    </w:tbl>
    <w:p w14:paraId="7843938F" w14:textId="77777777" w:rsidR="000A3ABB" w:rsidRDefault="000A3ABB">
      <w:pPr>
        <w:pStyle w:val="Cabealho"/>
        <w:rPr>
          <w:b/>
        </w:rPr>
      </w:pPr>
    </w:p>
    <w:p w14:paraId="5380DA05" w14:textId="77777777" w:rsidR="000A3ABB" w:rsidRDefault="000A3ABB">
      <w:pPr>
        <w:pStyle w:val="Cabealho"/>
        <w:rPr>
          <w:b/>
          <w:sz w:val="24"/>
          <w:szCs w:val="24"/>
        </w:rPr>
      </w:pPr>
      <w:r>
        <w:rPr>
          <w:b/>
          <w:sz w:val="24"/>
          <w:szCs w:val="24"/>
        </w:rPr>
        <w:t>Version</w:t>
      </w:r>
    </w:p>
    <w:p w14:paraId="1138E270" w14:textId="77777777" w:rsidR="000A3ABB" w:rsidRDefault="000A3ABB">
      <w:pPr>
        <w:pStyle w:val="Cabealho"/>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Corpodetexto"/>
              <w:spacing w:before="20" w:after="20"/>
              <w:rPr>
                <w:color w:val="0000FF"/>
              </w:rPr>
            </w:pPr>
            <w:r>
              <w:rPr>
                <w:color w:val="0000FF"/>
              </w:rPr>
              <w:t>1.0</w:t>
            </w:r>
          </w:p>
        </w:tc>
        <w:tc>
          <w:tcPr>
            <w:tcW w:w="1530" w:type="dxa"/>
          </w:tcPr>
          <w:p w14:paraId="2914D28E" w14:textId="77777777" w:rsidR="000A3ABB" w:rsidRDefault="00BD7852" w:rsidP="00BD7852">
            <w:pPr>
              <w:pStyle w:val="Corpodetexto"/>
              <w:spacing w:before="20" w:after="20"/>
              <w:rPr>
                <w:color w:val="0000FF"/>
              </w:rPr>
            </w:pPr>
            <w:r>
              <w:rPr>
                <w:color w:val="0000FF"/>
              </w:rPr>
              <w:t>10</w:t>
            </w:r>
            <w:r w:rsidR="00723485">
              <w:rPr>
                <w:color w:val="0000FF"/>
              </w:rPr>
              <w:t>-</w:t>
            </w:r>
            <w:r>
              <w:rPr>
                <w:color w:val="0000FF"/>
              </w:rPr>
              <w:t>08</w:t>
            </w:r>
            <w:r w:rsidR="00723485">
              <w:rPr>
                <w:color w:val="0000FF"/>
              </w:rPr>
              <w:t>-</w:t>
            </w:r>
            <w:r w:rsidR="00B31317">
              <w:rPr>
                <w:color w:val="0000FF"/>
              </w:rPr>
              <w:t>20</w:t>
            </w:r>
            <w:r>
              <w:rPr>
                <w:color w:val="0000FF"/>
              </w:rPr>
              <w:t>10</w:t>
            </w:r>
          </w:p>
        </w:tc>
        <w:tc>
          <w:tcPr>
            <w:tcW w:w="4410" w:type="dxa"/>
          </w:tcPr>
          <w:p w14:paraId="1EDE4F67" w14:textId="77777777" w:rsidR="000A3ABB" w:rsidRDefault="00037CC7">
            <w:pPr>
              <w:pStyle w:val="Corpodetexto"/>
              <w:spacing w:before="20" w:after="20"/>
              <w:rPr>
                <w:color w:val="0000FF"/>
              </w:rPr>
            </w:pPr>
            <w:r>
              <w:rPr>
                <w:color w:val="0000FF"/>
              </w:rPr>
              <w:t>Service Level Agreement</w:t>
            </w:r>
          </w:p>
        </w:tc>
        <w:tc>
          <w:tcPr>
            <w:tcW w:w="2160" w:type="dxa"/>
          </w:tcPr>
          <w:p w14:paraId="5198F6A3" w14:textId="77777777" w:rsidR="000A3ABB" w:rsidRDefault="00BD7852">
            <w:pPr>
              <w:pStyle w:val="Corpodetexto"/>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Corpodetexto"/>
              <w:spacing w:before="20" w:after="20"/>
              <w:rPr>
                <w:b/>
                <w:bCs/>
                <w:color w:val="0000FF"/>
              </w:rPr>
            </w:pPr>
            <w:r>
              <w:rPr>
                <w:color w:val="0000FF"/>
              </w:rPr>
              <w:t>1.1</w:t>
            </w:r>
          </w:p>
        </w:tc>
        <w:tc>
          <w:tcPr>
            <w:tcW w:w="1530" w:type="dxa"/>
          </w:tcPr>
          <w:p w14:paraId="7E4839D4" w14:textId="77777777" w:rsidR="000A3ABB" w:rsidRDefault="00BD7852">
            <w:pPr>
              <w:pStyle w:val="Corpodetexto"/>
              <w:spacing w:before="20" w:after="20"/>
              <w:rPr>
                <w:color w:val="0000FF"/>
              </w:rPr>
            </w:pPr>
            <w:r>
              <w:rPr>
                <w:color w:val="0000FF"/>
              </w:rPr>
              <w:t>15-08</w:t>
            </w:r>
            <w:r w:rsidR="00B31317">
              <w:rPr>
                <w:color w:val="0000FF"/>
              </w:rPr>
              <w:t>-20</w:t>
            </w:r>
            <w:r>
              <w:rPr>
                <w:color w:val="0000FF"/>
              </w:rPr>
              <w:t>10</w:t>
            </w:r>
          </w:p>
        </w:tc>
        <w:tc>
          <w:tcPr>
            <w:tcW w:w="4410" w:type="dxa"/>
          </w:tcPr>
          <w:p w14:paraId="33DF75A6" w14:textId="77777777" w:rsidR="000A3ABB" w:rsidRDefault="00B31317">
            <w:pPr>
              <w:pStyle w:val="Corpodetexto"/>
              <w:spacing w:before="20" w:after="20"/>
              <w:rPr>
                <w:color w:val="0000FF"/>
              </w:rPr>
            </w:pPr>
            <w:r>
              <w:rPr>
                <w:color w:val="0000FF"/>
              </w:rPr>
              <w:t>Service Level Agreement Revised</w:t>
            </w:r>
          </w:p>
        </w:tc>
        <w:tc>
          <w:tcPr>
            <w:tcW w:w="2160" w:type="dxa"/>
          </w:tcPr>
          <w:p w14:paraId="1EB1300F" w14:textId="77777777" w:rsidR="000A3ABB" w:rsidRDefault="00BD7852">
            <w:pPr>
              <w:pStyle w:val="Corpodetexto"/>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Corpodetexto"/>
              <w:spacing w:before="20" w:after="20"/>
              <w:rPr>
                <w:color w:val="0000FF"/>
              </w:rPr>
            </w:pPr>
          </w:p>
        </w:tc>
        <w:tc>
          <w:tcPr>
            <w:tcW w:w="1530" w:type="dxa"/>
          </w:tcPr>
          <w:p w14:paraId="7938ED4F" w14:textId="77777777" w:rsidR="000A3ABB" w:rsidRDefault="000A3ABB">
            <w:pPr>
              <w:pStyle w:val="Corpodetexto"/>
              <w:spacing w:before="20" w:after="20"/>
              <w:rPr>
                <w:color w:val="0000FF"/>
              </w:rPr>
            </w:pPr>
          </w:p>
        </w:tc>
        <w:tc>
          <w:tcPr>
            <w:tcW w:w="4410" w:type="dxa"/>
          </w:tcPr>
          <w:p w14:paraId="17F4F84C" w14:textId="77777777" w:rsidR="000A3ABB" w:rsidRDefault="000A3ABB">
            <w:pPr>
              <w:pStyle w:val="Corpodetexto"/>
              <w:spacing w:before="20" w:after="20"/>
              <w:rPr>
                <w:color w:val="0000FF"/>
              </w:rPr>
            </w:pPr>
          </w:p>
        </w:tc>
        <w:tc>
          <w:tcPr>
            <w:tcW w:w="2160" w:type="dxa"/>
          </w:tcPr>
          <w:p w14:paraId="2BE6342F" w14:textId="77777777" w:rsidR="000A3ABB" w:rsidRDefault="000A3ABB">
            <w:pPr>
              <w:pStyle w:val="Corpodetexto"/>
              <w:spacing w:before="20" w:after="20"/>
              <w:rPr>
                <w:color w:val="0000FF"/>
              </w:rPr>
            </w:pPr>
          </w:p>
        </w:tc>
      </w:tr>
    </w:tbl>
    <w:p w14:paraId="1870E3B7" w14:textId="77777777" w:rsidR="000A3ABB" w:rsidRDefault="000A3ABB">
      <w:pPr>
        <w:pStyle w:val="Cabealho"/>
        <w:rPr>
          <w:b/>
        </w:rPr>
      </w:pPr>
    </w:p>
    <w:p w14:paraId="3DDCA4D2" w14:textId="77777777" w:rsidR="000A3ABB" w:rsidRDefault="000A3ABB">
      <w:pPr>
        <w:pStyle w:val="Cabealho"/>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Corpodetexto"/>
              <w:spacing w:before="20" w:after="20"/>
              <w:rPr>
                <w:color w:val="0000FF"/>
              </w:rPr>
            </w:pPr>
            <w:r>
              <w:rPr>
                <w:color w:val="0000FF"/>
              </w:rPr>
              <w:t>Company name</w:t>
            </w:r>
          </w:p>
        </w:tc>
        <w:tc>
          <w:tcPr>
            <w:tcW w:w="1800" w:type="dxa"/>
          </w:tcPr>
          <w:p w14:paraId="0ADF9689" w14:textId="77777777" w:rsidR="00CC2D9A" w:rsidRDefault="00CC2D9A">
            <w:pPr>
              <w:pStyle w:val="Corpodetexto"/>
              <w:spacing w:before="20" w:after="20"/>
              <w:rPr>
                <w:color w:val="0000FF"/>
              </w:rPr>
            </w:pPr>
            <w:r>
              <w:rPr>
                <w:color w:val="0000FF"/>
              </w:rPr>
              <w:t>Service Provider</w:t>
            </w:r>
          </w:p>
        </w:tc>
        <w:tc>
          <w:tcPr>
            <w:tcW w:w="2409" w:type="dxa"/>
          </w:tcPr>
          <w:p w14:paraId="3E9ECDB3" w14:textId="77777777" w:rsidR="00CC2D9A" w:rsidRDefault="00CC2D9A">
            <w:pPr>
              <w:pStyle w:val="Corpodetexto"/>
              <w:spacing w:before="20" w:after="20"/>
              <w:rPr>
                <w:color w:val="0000FF"/>
              </w:rPr>
            </w:pPr>
          </w:p>
        </w:tc>
        <w:tc>
          <w:tcPr>
            <w:tcW w:w="3181" w:type="dxa"/>
          </w:tcPr>
          <w:p w14:paraId="6D463440" w14:textId="77777777" w:rsidR="00CC2D9A" w:rsidRDefault="00D020E3">
            <w:pPr>
              <w:pStyle w:val="Corpodetexto"/>
              <w:spacing w:before="20" w:after="20"/>
              <w:rPr>
                <w:color w:val="0000FF"/>
              </w:rPr>
            </w:pPr>
            <w:r>
              <w:rPr>
                <w:color w:val="0000FF"/>
              </w:rPr>
              <w:t>14-08-2010</w:t>
            </w:r>
          </w:p>
        </w:tc>
      </w:tr>
      <w:tr w:rsidR="00E6384F" w14:paraId="4798E752" w14:textId="77777777">
        <w:trPr>
          <w:trHeight w:val="242"/>
        </w:trPr>
        <w:tc>
          <w:tcPr>
            <w:tcW w:w="1908" w:type="dxa"/>
          </w:tcPr>
          <w:p w14:paraId="374E9956" w14:textId="77777777" w:rsidR="00CC2D9A" w:rsidRPr="00922347" w:rsidRDefault="008542C3">
            <w:pPr>
              <w:pStyle w:val="Corpodetexto"/>
              <w:spacing w:before="20" w:after="20"/>
              <w:rPr>
                <w:bCs/>
                <w:color w:val="0000FF"/>
              </w:rPr>
            </w:pPr>
            <w:r>
              <w:rPr>
                <w:bCs/>
                <w:color w:val="0000FF"/>
              </w:rPr>
              <w:t>Customer</w:t>
            </w:r>
          </w:p>
        </w:tc>
        <w:tc>
          <w:tcPr>
            <w:tcW w:w="1800" w:type="dxa"/>
          </w:tcPr>
          <w:p w14:paraId="5D5D4F9B" w14:textId="77777777" w:rsidR="00CC2D9A" w:rsidRDefault="00CC2D9A">
            <w:pPr>
              <w:pStyle w:val="Corpodetexto"/>
              <w:spacing w:before="20" w:after="20"/>
              <w:rPr>
                <w:color w:val="0000FF"/>
              </w:rPr>
            </w:pPr>
            <w:r>
              <w:rPr>
                <w:color w:val="0000FF"/>
              </w:rPr>
              <w:t>Customer</w:t>
            </w:r>
          </w:p>
        </w:tc>
        <w:tc>
          <w:tcPr>
            <w:tcW w:w="2409" w:type="dxa"/>
          </w:tcPr>
          <w:p w14:paraId="5FC3E591" w14:textId="77777777" w:rsidR="00CC2D9A" w:rsidRDefault="00CC2D9A">
            <w:pPr>
              <w:pStyle w:val="Corpodetexto"/>
              <w:spacing w:before="20" w:after="20"/>
              <w:rPr>
                <w:color w:val="0000FF"/>
              </w:rPr>
            </w:pPr>
          </w:p>
        </w:tc>
        <w:tc>
          <w:tcPr>
            <w:tcW w:w="3181" w:type="dxa"/>
          </w:tcPr>
          <w:p w14:paraId="794AD9F8" w14:textId="77777777" w:rsidR="00CC2D9A" w:rsidRDefault="00D020E3">
            <w:pPr>
              <w:pStyle w:val="Corpodetexto"/>
              <w:spacing w:before="20" w:after="20"/>
              <w:rPr>
                <w:color w:val="0000FF"/>
              </w:rPr>
            </w:pPr>
            <w:r>
              <w:rPr>
                <w:color w:val="0000FF"/>
              </w:rPr>
              <w:t>14-08-2010</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Cabealho"/>
        <w:rPr>
          <w:b/>
          <w:sz w:val="24"/>
          <w:szCs w:val="24"/>
        </w:rPr>
      </w:pPr>
      <w:r>
        <w:rPr>
          <w:b/>
          <w:sz w:val="24"/>
          <w:szCs w:val="24"/>
        </w:rPr>
        <w:lastRenderedPageBreak/>
        <w:t>Table of Contents</w:t>
      </w:r>
    </w:p>
    <w:p w14:paraId="24F8DFA0" w14:textId="77777777" w:rsidR="000A3ABB" w:rsidRPr="002C6C71" w:rsidRDefault="000A3ABB">
      <w:pPr>
        <w:pStyle w:val="Cabealho"/>
        <w:rPr>
          <w:sz w:val="24"/>
          <w:szCs w:val="24"/>
        </w:rPr>
      </w:pPr>
    </w:p>
    <w:p w14:paraId="7AA7B5C4" w14:textId="77777777" w:rsidR="004F5585" w:rsidRPr="001A0BE6" w:rsidRDefault="000A3ABB">
      <w:pPr>
        <w:pStyle w:val="Sumrio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943BD3">
      <w:pPr>
        <w:pStyle w:val="Sumrio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943BD3">
      <w:pPr>
        <w:pStyle w:val="Sumrio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943BD3">
      <w:pPr>
        <w:pStyle w:val="Sumrio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943BD3">
      <w:pPr>
        <w:pStyle w:val="Sumrio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943BD3">
      <w:pPr>
        <w:pStyle w:val="Sumrio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943BD3">
      <w:pPr>
        <w:pStyle w:val="Sumrio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943BD3">
      <w:pPr>
        <w:pStyle w:val="Sumrio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943BD3">
      <w:pPr>
        <w:pStyle w:val="Sumrio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943BD3">
      <w:pPr>
        <w:pStyle w:val="Sumrio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943BD3">
      <w:pPr>
        <w:pStyle w:val="Sumrio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943BD3">
      <w:pPr>
        <w:pStyle w:val="Sumrio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Ttulo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Ttulo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Company name</w:t>
      </w:r>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Ttulo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Cabealho"/>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Cabealho"/>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Cabealho"/>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Cabealho"/>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Ttulo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Ttulo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Ttulo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77777777"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01-08-2010</w:t>
      </w:r>
    </w:p>
    <w:p w14:paraId="3B999BA4" w14:textId="77777777"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01-12-2011</w:t>
      </w:r>
    </w:p>
    <w:p w14:paraId="0EF4BCF2" w14:textId="77777777" w:rsidR="000A3ABB" w:rsidRDefault="000A3ABB">
      <w:pPr>
        <w:rPr>
          <w:color w:val="0000FF"/>
          <w:sz w:val="24"/>
          <w:szCs w:val="24"/>
        </w:rPr>
      </w:pPr>
    </w:p>
    <w:p w14:paraId="5E0145A3" w14:textId="77777777" w:rsidR="000A3ABB" w:rsidRDefault="000A3ABB">
      <w:pPr>
        <w:pStyle w:val="Ttulo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Textodenotadefim"/>
      </w:pPr>
    </w:p>
    <w:p w14:paraId="3B6FB31C" w14:textId="77777777" w:rsidR="000A3ABB" w:rsidRDefault="000A3ABB">
      <w:pPr>
        <w:pStyle w:val="Textodenotadefim"/>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Textodenotadefim"/>
        <w:rPr>
          <w:color w:val="000000"/>
          <w:sz w:val="24"/>
          <w:szCs w:val="24"/>
        </w:rPr>
      </w:pPr>
    </w:p>
    <w:p w14:paraId="26D5AC48" w14:textId="77777777" w:rsidR="000A3ABB" w:rsidRDefault="000A3ABB">
      <w:pPr>
        <w:pStyle w:val="Ttulo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Textodenotadefim"/>
        <w:ind w:left="792"/>
        <w:jc w:val="both"/>
        <w:rPr>
          <w:i/>
          <w:iCs/>
          <w:color w:val="008000"/>
          <w:sz w:val="24"/>
          <w:szCs w:val="24"/>
        </w:rPr>
      </w:pPr>
      <w:r w:rsidRPr="00366CED">
        <w:rPr>
          <w:sz w:val="24"/>
          <w:szCs w:val="24"/>
        </w:rPr>
        <w:t>The following Services are covered by this Agreement</w:t>
      </w:r>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Ttulo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Ttulo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Ttulo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Ttulo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Cabealho"/>
        <w:tabs>
          <w:tab w:val="clear" w:pos="4320"/>
          <w:tab w:val="clear" w:pos="8640"/>
        </w:tabs>
      </w:pPr>
    </w:p>
    <w:p w14:paraId="04C2165D" w14:textId="77777777" w:rsidR="00417563" w:rsidRDefault="00417563">
      <w:pPr>
        <w:pStyle w:val="Cabealho"/>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Ttulo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Corpodetexto"/>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Ttulo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Ttulo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Ttulo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Corpodetexto"/>
        <w:ind w:left="720"/>
        <w:rPr>
          <w:sz w:val="24"/>
          <w:szCs w:val="24"/>
        </w:rPr>
      </w:pPr>
    </w:p>
    <w:p w14:paraId="673E5634" w14:textId="77777777" w:rsidR="000A3ABB" w:rsidRDefault="000A3ABB">
      <w:pPr>
        <w:pStyle w:val="Ttulo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Cabealho"/>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DB469" w14:textId="77777777" w:rsidR="00943BD3" w:rsidRDefault="00943BD3">
      <w:r>
        <w:separator/>
      </w:r>
    </w:p>
  </w:endnote>
  <w:endnote w:type="continuationSeparator" w:id="0">
    <w:p w14:paraId="78878AAD" w14:textId="77777777" w:rsidR="00943BD3" w:rsidRDefault="0094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B827" w14:textId="77777777" w:rsidR="00BF474C" w:rsidRDefault="00BF474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0395C5" w14:textId="77777777" w:rsidR="00BF474C" w:rsidRDefault="00BF47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C5348" w14:textId="77777777" w:rsidR="00BF474C" w:rsidRDefault="00BF474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6394B">
      <w:rPr>
        <w:rStyle w:val="Nmerodepgina"/>
        <w:noProof/>
      </w:rPr>
      <w:t>2</w:t>
    </w:r>
    <w:r>
      <w:rPr>
        <w:rStyle w:val="Nmerodepgina"/>
      </w:rPr>
      <w:fldChar w:fldCharType="end"/>
    </w:r>
    <w:r w:rsidR="00E30596">
      <w:rPr>
        <w:rStyle w:val="Nmerodepgina"/>
      </w:rPr>
      <w:t>/</w:t>
    </w:r>
    <w:r w:rsidR="00E30596">
      <w:rPr>
        <w:rStyle w:val="Nmerodepgina"/>
      </w:rPr>
      <w:fldChar w:fldCharType="begin"/>
    </w:r>
    <w:r w:rsidR="00E30596">
      <w:rPr>
        <w:rStyle w:val="Nmerodepgina"/>
      </w:rPr>
      <w:instrText xml:space="preserve"> NUMPAGES </w:instrText>
    </w:r>
    <w:r w:rsidR="00E30596">
      <w:rPr>
        <w:rStyle w:val="Nmerodepgina"/>
      </w:rPr>
      <w:fldChar w:fldCharType="separate"/>
    </w:r>
    <w:r w:rsidR="0036394B">
      <w:rPr>
        <w:rStyle w:val="Nmerodepgina"/>
        <w:noProof/>
      </w:rPr>
      <w:t>6</w:t>
    </w:r>
    <w:r w:rsidR="00E30596">
      <w:rPr>
        <w:rStyle w:val="Nmerodepgina"/>
      </w:rPr>
      <w:fldChar w:fldCharType="end"/>
    </w:r>
  </w:p>
  <w:p w14:paraId="5283AD79" w14:textId="77777777" w:rsidR="00BF474C" w:rsidRDefault="00BF474C">
    <w:pPr>
      <w:pStyle w:val="Rodap"/>
    </w:pPr>
  </w:p>
  <w:p w14:paraId="20A2DD44" w14:textId="77777777" w:rsidR="00BF474C" w:rsidRDefault="00BF474C">
    <w:pPr>
      <w:pStyle w:val="Rodap"/>
    </w:pPr>
  </w:p>
  <w:p w14:paraId="230F392B" w14:textId="77777777" w:rsidR="00BF474C" w:rsidRDefault="00396227" w:rsidP="00D10544">
    <w:pPr>
      <w:pStyle w:val="Rodap"/>
      <w:jc w:val="center"/>
    </w:pPr>
    <w:r>
      <w:t>Company name</w:t>
    </w:r>
  </w:p>
  <w:p w14:paraId="1A10FAB1" w14:textId="77777777" w:rsidR="00BF474C" w:rsidRDefault="00BF474C" w:rsidP="00D10544">
    <w:pPr>
      <w:pStyle w:val="Rodap"/>
      <w:jc w:val="center"/>
      <w:rPr>
        <w:sz w:val="16"/>
      </w:rPr>
    </w:pPr>
    <w:r>
      <w:rPr>
        <w:sz w:val="16"/>
      </w:rPr>
      <w:t xml:space="preserve">Incorporation Number </w:t>
    </w:r>
    <w:r w:rsidR="00396227">
      <w:rPr>
        <w:sz w:val="16"/>
      </w:rPr>
      <w:t>0000000</w:t>
    </w:r>
  </w:p>
  <w:p w14:paraId="186E2A80" w14:textId="25AE7191" w:rsidR="0036394B" w:rsidRPr="0036394B" w:rsidRDefault="00943BD3" w:rsidP="00D10544">
    <w:pPr>
      <w:pStyle w:val="Rodap"/>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C27E0" w14:textId="77777777" w:rsidR="00BF474C" w:rsidRDefault="00BF474C" w:rsidP="00D10544">
    <w:pPr>
      <w:pStyle w:val="Rodap"/>
      <w:jc w:val="center"/>
    </w:pPr>
    <w:r>
      <w:tab/>
    </w:r>
    <w:r>
      <w:tab/>
    </w:r>
  </w:p>
  <w:p w14:paraId="49C29E02" w14:textId="77777777" w:rsidR="00BF474C" w:rsidRDefault="002E2ACD" w:rsidP="00D10544">
    <w:pPr>
      <w:pStyle w:val="Rodap"/>
      <w:jc w:val="center"/>
    </w:pPr>
    <w:r>
      <w:t>Company address</w:t>
    </w:r>
  </w:p>
  <w:p w14:paraId="4A348034" w14:textId="77777777" w:rsidR="00BF474C" w:rsidRDefault="00BF474C" w:rsidP="00D10544">
    <w:pPr>
      <w:pStyle w:val="Rodap"/>
      <w:jc w:val="center"/>
      <w:rPr>
        <w:sz w:val="16"/>
      </w:rPr>
    </w:pPr>
    <w:r>
      <w:rPr>
        <w:sz w:val="16"/>
      </w:rPr>
      <w:t xml:space="preserve">Incorporation Number </w:t>
    </w:r>
    <w:r w:rsidR="002E2ACD">
      <w:rPr>
        <w:sz w:val="16"/>
      </w:rPr>
      <w:t>0000000</w:t>
    </w:r>
  </w:p>
  <w:p w14:paraId="5B271DAF" w14:textId="77777777" w:rsidR="00BF474C" w:rsidRDefault="00BF47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D7F7C" w14:textId="77777777" w:rsidR="00943BD3" w:rsidRDefault="00943BD3">
      <w:r>
        <w:separator/>
      </w:r>
    </w:p>
  </w:footnote>
  <w:footnote w:type="continuationSeparator" w:id="0">
    <w:p w14:paraId="73E0FE7A" w14:textId="77777777" w:rsidR="00943BD3" w:rsidRDefault="00943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2980" w14:textId="77777777" w:rsidR="0036394B" w:rsidRDefault="0036394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650A9" w14:textId="77777777" w:rsidR="00BF474C" w:rsidRDefault="0008024B" w:rsidP="00D10544">
    <w:pPr>
      <w:pStyle w:val="Cabealho"/>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61A0" w14:textId="77777777" w:rsidR="00BF474C" w:rsidRDefault="00BF474C" w:rsidP="00D10544">
    <w:pPr>
      <w:pStyle w:val="Cabealho"/>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374F6"/>
    <w:rsid w:val="00037CC7"/>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C4F07"/>
    <w:rsid w:val="001E04B1"/>
    <w:rsid w:val="00200229"/>
    <w:rsid w:val="0028430F"/>
    <w:rsid w:val="002A54FE"/>
    <w:rsid w:val="002D077A"/>
    <w:rsid w:val="002D66AB"/>
    <w:rsid w:val="002E2ACD"/>
    <w:rsid w:val="00311E9B"/>
    <w:rsid w:val="00316E81"/>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53C97"/>
    <w:rsid w:val="007626F0"/>
    <w:rsid w:val="00787A92"/>
    <w:rsid w:val="007A442E"/>
    <w:rsid w:val="007B73A5"/>
    <w:rsid w:val="007E29D8"/>
    <w:rsid w:val="00805F97"/>
    <w:rsid w:val="00825FE9"/>
    <w:rsid w:val="008312CC"/>
    <w:rsid w:val="008542C3"/>
    <w:rsid w:val="00873A00"/>
    <w:rsid w:val="008A066E"/>
    <w:rsid w:val="008B3CA8"/>
    <w:rsid w:val="008B4742"/>
    <w:rsid w:val="008D493F"/>
    <w:rsid w:val="008E4E17"/>
    <w:rsid w:val="00906314"/>
    <w:rsid w:val="00913F43"/>
    <w:rsid w:val="00922347"/>
    <w:rsid w:val="00943BD3"/>
    <w:rsid w:val="009736C0"/>
    <w:rsid w:val="00986F2C"/>
    <w:rsid w:val="009A28EE"/>
    <w:rsid w:val="009B4F22"/>
    <w:rsid w:val="009B6AC5"/>
    <w:rsid w:val="009F5D9E"/>
    <w:rsid w:val="00A0176D"/>
    <w:rsid w:val="00A25E1C"/>
    <w:rsid w:val="00A43ED8"/>
    <w:rsid w:val="00A7744C"/>
    <w:rsid w:val="00A90B91"/>
    <w:rsid w:val="00AD4E02"/>
    <w:rsid w:val="00B049B7"/>
    <w:rsid w:val="00B31317"/>
    <w:rsid w:val="00B83B8A"/>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Ttulo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Pr>
      <w:color w:val="0000FF"/>
      <w:u w:val="single"/>
    </w:rPr>
  </w:style>
  <w:style w:type="paragraph" w:styleId="Corpodetexto">
    <w:name w:val="Body Text"/>
    <w:basedOn w:val="Normal"/>
    <w:pPr>
      <w:tabs>
        <w:tab w:val="left" w:pos="360"/>
      </w:tabs>
    </w:pPr>
  </w:style>
  <w:style w:type="paragraph" w:styleId="Rodap">
    <w:name w:val="footer"/>
    <w:basedOn w:val="Normal"/>
    <w:pPr>
      <w:tabs>
        <w:tab w:val="center" w:pos="4320"/>
        <w:tab w:val="right" w:pos="8640"/>
      </w:tabs>
    </w:pPr>
  </w:style>
  <w:style w:type="paragraph" w:styleId="Sumrio1">
    <w:name w:val="toc 1"/>
    <w:basedOn w:val="Normal"/>
    <w:next w:val="Normal"/>
    <w:autoRedefine/>
    <w:qFormat/>
  </w:style>
  <w:style w:type="character" w:customStyle="1" w:styleId="Heading1Char">
    <w:name w:val="Heading 1 Char"/>
    <w:basedOn w:val="Fontepargpadro"/>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Cabealho"/>
    <w:rPr>
      <w:rFonts w:ascii="Arial" w:hAnsi="Arial"/>
      <w:b/>
    </w:rPr>
  </w:style>
  <w:style w:type="paragraph" w:styleId="Cabealho">
    <w:name w:val="header"/>
    <w:basedOn w:val="Normal"/>
    <w:pPr>
      <w:tabs>
        <w:tab w:val="center" w:pos="4320"/>
        <w:tab w:val="right" w:pos="8640"/>
      </w:tabs>
    </w:pPr>
  </w:style>
  <w:style w:type="character" w:styleId="Nmerodepgina">
    <w:name w:val="page number"/>
    <w:basedOn w:val="Fontepargpadro"/>
  </w:style>
  <w:style w:type="paragraph" w:customStyle="1" w:styleId="Heading1noTOC">
    <w:name w:val="Heading 1 no TOC"/>
    <w:basedOn w:val="Ttulo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Corpodetexto2">
    <w:name w:val="Body Text 2"/>
    <w:basedOn w:val="Normal"/>
    <w:rPr>
      <w:rFonts w:ascii="Arial" w:hAnsi="Arial"/>
    </w:rPr>
  </w:style>
  <w:style w:type="character" w:styleId="Refdecomentrio">
    <w:name w:val="annotation reference"/>
    <w:basedOn w:val="Fontepargpadro"/>
    <w:semiHidden/>
    <w:rPr>
      <w:sz w:val="16"/>
      <w:szCs w:val="16"/>
    </w:rPr>
  </w:style>
  <w:style w:type="paragraph" w:styleId="Textodecomentrio">
    <w:name w:val="annotation text"/>
    <w:basedOn w:val="Normal"/>
    <w:semiHidden/>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Tahoma"/>
      <w:sz w:val="16"/>
      <w:szCs w:val="16"/>
    </w:rPr>
  </w:style>
  <w:style w:type="paragraph" w:styleId="Recuodecorpodetexto">
    <w:name w:val="Body Text Indent"/>
    <w:basedOn w:val="Normal"/>
    <w:pPr>
      <w:spacing w:after="120"/>
      <w:ind w:left="360"/>
    </w:pPr>
  </w:style>
  <w:style w:type="paragraph" w:styleId="Recuodecorpodetexto2">
    <w:name w:val="Body Text Indent 2"/>
    <w:basedOn w:val="Normal"/>
    <w:pPr>
      <w:spacing w:after="120" w:line="480" w:lineRule="auto"/>
      <w:ind w:left="360"/>
    </w:pPr>
  </w:style>
  <w:style w:type="paragraph" w:styleId="Recuodecorpodetexto3">
    <w:name w:val="Body Text Indent 3"/>
    <w:basedOn w:val="Normal"/>
    <w:pPr>
      <w:spacing w:after="120"/>
      <w:ind w:left="360"/>
    </w:pPr>
    <w:rPr>
      <w:sz w:val="16"/>
      <w:szCs w:val="16"/>
    </w:rPr>
  </w:style>
  <w:style w:type="paragraph" w:styleId="Textodenotadefim">
    <w:name w:val="endnote text"/>
    <w:basedOn w:val="Normal"/>
    <w:semiHidden/>
  </w:style>
  <w:style w:type="paragraph" w:styleId="Ttulo">
    <w:name w:val="Title"/>
    <w:basedOn w:val="Normal"/>
    <w:qFormat/>
    <w:pPr>
      <w:spacing w:before="240" w:after="60"/>
      <w:jc w:val="center"/>
      <w:outlineLvl w:val="0"/>
    </w:pPr>
    <w:rPr>
      <w:rFonts w:ascii="Arial" w:hAnsi="Arial"/>
      <w:b/>
      <w:kern w:val="28"/>
      <w:sz w:val="32"/>
    </w:rPr>
  </w:style>
  <w:style w:type="character" w:customStyle="1" w:styleId="body">
    <w:name w:val="body"/>
    <w:basedOn w:val="Fontepargpadro"/>
  </w:style>
  <w:style w:type="character" w:customStyle="1" w:styleId="maincopy1">
    <w:name w:val="maincopy1"/>
    <w:basedOn w:val="Fontepargpadro"/>
    <w:rPr>
      <w:rFonts w:ascii="Verdana" w:hAnsi="Verdana" w:hint="default"/>
      <w:sz w:val="20"/>
      <w:szCs w:val="20"/>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qFormat/>
    <w:pPr>
      <w:ind w:left="240"/>
    </w:pPr>
  </w:style>
  <w:style w:type="paragraph" w:styleId="Sumrio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Ttulo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6464</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rogerfusion@yahoo.com.br</cp:lastModifiedBy>
  <cp:revision>3</cp:revision>
  <cp:lastPrinted>2006-06-15T10:31:00Z</cp:lastPrinted>
  <dcterms:created xsi:type="dcterms:W3CDTF">2020-06-11T09:06:00Z</dcterms:created>
  <dcterms:modified xsi:type="dcterms:W3CDTF">2020-07-25T17:31:00Z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