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06F1F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JOSEPH "JOE" POINTER</w:t>
      </w:r>
    </w:p>
    <w:p w14:paraId="0C83C5AB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2025 "Face of TIAA" Values VIP (Top 4 of 16,000 Associates)</w:t>
      </w:r>
    </w:p>
    <w:p w14:paraId="3642D696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Director-Level Leader in AI Adoption, Workplace Transformation &amp; Organizational Change</w:t>
      </w:r>
    </w:p>
    <w:p w14:paraId="3D2F0B70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50D6A473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Denver Metro Area | 303-888-3151 | joepointer@comcast.net</w:t>
      </w:r>
    </w:p>
    <w:p w14:paraId="556FA4AC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linkedin.com/in/</w:t>
      </w:r>
      <w:proofErr w:type="spellStart"/>
      <w:r w:rsidRPr="00860C76">
        <w:rPr>
          <w:rFonts w:ascii="Calibri" w:hAnsi="Calibri" w:cs="Calibri"/>
          <w:sz w:val="20"/>
          <w:szCs w:val="20"/>
        </w:rPr>
        <w:t>josephpointer</w:t>
      </w:r>
      <w:proofErr w:type="spellEnd"/>
      <w:r w:rsidRPr="00860C76">
        <w:rPr>
          <w:rFonts w:ascii="Calibri" w:hAnsi="Calibri" w:cs="Calibri"/>
          <w:sz w:val="20"/>
          <w:szCs w:val="20"/>
        </w:rPr>
        <w:t xml:space="preserve"> | www.joepointer.com</w:t>
      </w:r>
    </w:p>
    <w:p w14:paraId="370D2C9B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6B04D456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EXECUTIVE PROFILE</w:t>
      </w:r>
    </w:p>
    <w:p w14:paraId="3352C474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09476E7C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 xml:space="preserve">Most transformations fail at adoption. I design and lead enterprise-scale initiatives where systems, workplaces, and AI tools are built with humans at the center, so change feels intentional, not imposed. At TIAA, I conceived and launched </w:t>
      </w:r>
      <w:proofErr w:type="spellStart"/>
      <w:r w:rsidRPr="00860C76">
        <w:rPr>
          <w:rFonts w:ascii="Calibri" w:hAnsi="Calibri" w:cs="Calibri"/>
          <w:sz w:val="20"/>
          <w:szCs w:val="20"/>
        </w:rPr>
        <w:t>CareerSpark</w:t>
      </w:r>
      <w:proofErr w:type="spellEnd"/>
      <w:r w:rsidRPr="00860C76">
        <w:rPr>
          <w:rFonts w:ascii="Calibri" w:hAnsi="Calibri" w:cs="Calibri"/>
          <w:sz w:val="20"/>
          <w:szCs w:val="20"/>
        </w:rPr>
        <w:t>, an AI-powered career platform that's now integrated into the enterprise learning portal. I've led workplace transformations affecting 700+ associates (44% footprint reduction) and culture programs driving 306% increases in engagement.</w:t>
      </w:r>
    </w:p>
    <w:p w14:paraId="14664472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7203E43C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PROFESSIONAL EXPERIENCE</w:t>
      </w:r>
    </w:p>
    <w:p w14:paraId="1A57BA40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3290E4D2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DIRECTOR, WORKPLACE EXPERIENCE &amp; ASSOCIATE ENGAGEMENT</w:t>
      </w:r>
    </w:p>
    <w:p w14:paraId="7BA70F46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TIAA (Fortune 100 Financial Services, $1.6T AUM)</w:t>
      </w:r>
    </w:p>
    <w:p w14:paraId="5301D91B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February 2022 - Present</w:t>
      </w:r>
    </w:p>
    <w:p w14:paraId="08F2B136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61851445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Previous Roles: Business Manager (2016-2022) | Senior Business Management Specialist (2013-2016) | Business Consultant (2011-2013)</w:t>
      </w:r>
    </w:p>
    <w:p w14:paraId="496788FC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23FF174C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Led enterprise initiatives impacting 16,000+ associates across Client Services (~3,000 associates). Managed $250K-$300K annual budgets. Partnered with Global Corporate Services, Workplace Services, Facilities, HR, and IT to deliver complex transformations.</w:t>
      </w:r>
    </w:p>
    <w:p w14:paraId="0C2D79BB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47A3BA79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AI &amp; Digital Innovation</w:t>
      </w:r>
    </w:p>
    <w:p w14:paraId="6F358EFE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74BB9AB6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 xml:space="preserve">- Conceived and led team to launch </w:t>
      </w:r>
      <w:proofErr w:type="spellStart"/>
      <w:r w:rsidRPr="00860C76">
        <w:rPr>
          <w:rFonts w:ascii="Calibri" w:hAnsi="Calibri" w:cs="Calibri"/>
          <w:sz w:val="20"/>
          <w:szCs w:val="20"/>
        </w:rPr>
        <w:t>CareerSpark</w:t>
      </w:r>
      <w:proofErr w:type="spellEnd"/>
      <w:r w:rsidRPr="00860C76">
        <w:rPr>
          <w:rFonts w:ascii="Calibri" w:hAnsi="Calibri" w:cs="Calibri"/>
          <w:sz w:val="20"/>
          <w:szCs w:val="20"/>
        </w:rPr>
        <w:t>: AI-powered career development platform now serving as the primary career tool for the organization. Managed contractors and cross-functional partners through full lifecycle from concept to enterprise deployment, including prompt engineering, user experience design, and change management strategy.</w:t>
      </w:r>
    </w:p>
    <w:p w14:paraId="5C2B1C72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7CEF23A4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- Drove adoption at scale: Presented to 1,500+ associates through webinars, town halls, team meetings, and one-on-one coaching sessions. Integrated platform into TIAA University enterprise learning portal. Goal wasn't just access. It was active usage for career navigation and development.</w:t>
      </w:r>
    </w:p>
    <w:p w14:paraId="7D374FCC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4DFD43D0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 xml:space="preserve">- Virtual Career Fair Innovation (2020): When pandemic eliminated in-person career events, saw opportunity to solve long-standing inequity. Previously, only major offices (Denver, Charlotte, NYC) hosted events, excluding regional associates. Designed and launched virtual platform reaching 800+ associates across all locations. Regional associate: "I felt included for first time, not as a second thought." Solution </w:t>
      </w:r>
      <w:proofErr w:type="gramStart"/>
      <w:r w:rsidRPr="00860C76">
        <w:rPr>
          <w:rFonts w:ascii="Calibri" w:hAnsi="Calibri" w:cs="Calibri"/>
          <w:sz w:val="20"/>
          <w:szCs w:val="20"/>
        </w:rPr>
        <w:t>replicated</w:t>
      </w:r>
      <w:proofErr w:type="gramEnd"/>
      <w:r w:rsidRPr="00860C76">
        <w:rPr>
          <w:rFonts w:ascii="Calibri" w:hAnsi="Calibri" w:cs="Calibri"/>
          <w:sz w:val="20"/>
          <w:szCs w:val="20"/>
        </w:rPr>
        <w:t xml:space="preserve"> by 3+ teams.</w:t>
      </w:r>
    </w:p>
    <w:p w14:paraId="081F6266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370EA2BF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 xml:space="preserve">- Recognition: Client Services Values Champion (2025). </w:t>
      </w:r>
      <w:proofErr w:type="spellStart"/>
      <w:r w:rsidRPr="00860C76">
        <w:rPr>
          <w:rFonts w:ascii="Calibri" w:hAnsi="Calibri" w:cs="Calibri"/>
          <w:sz w:val="20"/>
          <w:szCs w:val="20"/>
        </w:rPr>
        <w:t>CareerSpark</w:t>
      </w:r>
      <w:proofErr w:type="spellEnd"/>
      <w:r w:rsidRPr="00860C76">
        <w:rPr>
          <w:rFonts w:ascii="Calibri" w:hAnsi="Calibri" w:cs="Calibri"/>
          <w:sz w:val="20"/>
          <w:szCs w:val="20"/>
        </w:rPr>
        <w:t xml:space="preserve"> adoption exceeded projections, with 1,500+ associates engaged through webinars, town halls, and coaching sessions.</w:t>
      </w:r>
    </w:p>
    <w:p w14:paraId="47863BFF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03B891D6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Enterprise Workplace Transformation</w:t>
      </w:r>
    </w:p>
    <w:p w14:paraId="5ABF7D4E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7F370CDF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- Denver Consolidation (2023-2024): Led transition of 700 associates from traditional seating to hoteling model. Reduced footprint by 44% (5 floors vacated). Served as primary liaison across Global Corporate Services, Workplace Services, IT, Facilities, and HR. Managed change people didn't choose with respect and clarity.</w:t>
      </w:r>
    </w:p>
    <w:p w14:paraId="7DF5CAA8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596C94C7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- Frisco Corporate Center Opening (2024): Managed transition for 500+ associates: led Lewisville office refresh (12 digital displays) during pandemic, then led planning, communication, and move to new 15-story Frisco corporate center.</w:t>
      </w:r>
    </w:p>
    <w:p w14:paraId="359478F9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1BF1CAC4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lastRenderedPageBreak/>
        <w:t>- Charlotte Campus Transformation (2022-2024): Led workplace experience for return-to-office: Welcome program (6 tour events) and campus restack.</w:t>
      </w:r>
    </w:p>
    <w:p w14:paraId="25FC80AB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62E0F430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Associate Development &amp; Culture</w:t>
      </w:r>
    </w:p>
    <w:p w14:paraId="6B04CDFF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325F9371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 xml:space="preserve">- Skills of the Future Program (2024): Conceived and developed learning portal focused on critical skills for Client Services organization. Led team of 7 </w:t>
      </w:r>
      <w:proofErr w:type="gramStart"/>
      <w:r w:rsidRPr="00860C76">
        <w:rPr>
          <w:rFonts w:ascii="Calibri" w:hAnsi="Calibri" w:cs="Calibri"/>
          <w:sz w:val="20"/>
          <w:szCs w:val="20"/>
        </w:rPr>
        <w:t>to create</w:t>
      </w:r>
      <w:proofErr w:type="gramEnd"/>
      <w:r w:rsidRPr="00860C76">
        <w:rPr>
          <w:rFonts w:ascii="Calibri" w:hAnsi="Calibri" w:cs="Calibri"/>
          <w:sz w:val="20"/>
          <w:szCs w:val="20"/>
        </w:rPr>
        <w:t xml:space="preserve"> 5 curriculums with 12-17 modules each. Launched engagement plan using Microsoft Viva Engage community and organization-wide communications. Reached 890 unique visitors, 1,156 Viva Engage views.</w:t>
      </w:r>
    </w:p>
    <w:p w14:paraId="17A82DCB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29F1931F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 xml:space="preserve">- Recognition Program Leadership (2019-2025): Administered Client Services R&amp;R program with $250K-$300K annual budget. </w:t>
      </w:r>
      <w:proofErr w:type="gramStart"/>
      <w:r w:rsidRPr="00860C76">
        <w:rPr>
          <w:rFonts w:ascii="Calibri" w:hAnsi="Calibri" w:cs="Calibri"/>
          <w:sz w:val="20"/>
          <w:szCs w:val="20"/>
        </w:rPr>
        <w:t>Drove</w:t>
      </w:r>
      <w:proofErr w:type="gramEnd"/>
      <w:r w:rsidRPr="00860C76">
        <w:rPr>
          <w:rFonts w:ascii="Calibri" w:hAnsi="Calibri" w:cs="Calibri"/>
          <w:sz w:val="20"/>
          <w:szCs w:val="20"/>
        </w:rPr>
        <w:t xml:space="preserve"> 306% increase in recognitions (2020-2021). Client Services </w:t>
      </w:r>
      <w:proofErr w:type="gramStart"/>
      <w:r w:rsidRPr="00860C76">
        <w:rPr>
          <w:rFonts w:ascii="Calibri" w:hAnsi="Calibri" w:cs="Calibri"/>
          <w:sz w:val="20"/>
          <w:szCs w:val="20"/>
        </w:rPr>
        <w:t>responsible</w:t>
      </w:r>
      <w:proofErr w:type="gramEnd"/>
      <w:r w:rsidRPr="00860C76">
        <w:rPr>
          <w:rFonts w:ascii="Calibri" w:hAnsi="Calibri" w:cs="Calibri"/>
          <w:sz w:val="20"/>
          <w:szCs w:val="20"/>
        </w:rPr>
        <w:t xml:space="preserve"> for 44% of all CS&amp;T </w:t>
      </w:r>
      <w:proofErr w:type="gramStart"/>
      <w:r w:rsidRPr="00860C76">
        <w:rPr>
          <w:rFonts w:ascii="Calibri" w:hAnsi="Calibri" w:cs="Calibri"/>
          <w:sz w:val="20"/>
          <w:szCs w:val="20"/>
        </w:rPr>
        <w:t>recognitions</w:t>
      </w:r>
      <w:proofErr w:type="gramEnd"/>
      <w:r w:rsidRPr="00860C76">
        <w:rPr>
          <w:rFonts w:ascii="Calibri" w:hAnsi="Calibri" w:cs="Calibri"/>
          <w:sz w:val="20"/>
          <w:szCs w:val="20"/>
        </w:rPr>
        <w:t xml:space="preserve"> (2023) and 34% of all company-wide </w:t>
      </w:r>
      <w:proofErr w:type="gramStart"/>
      <w:r w:rsidRPr="00860C76">
        <w:rPr>
          <w:rFonts w:ascii="Calibri" w:hAnsi="Calibri" w:cs="Calibri"/>
          <w:sz w:val="20"/>
          <w:szCs w:val="20"/>
        </w:rPr>
        <w:t>recognitions</w:t>
      </w:r>
      <w:proofErr w:type="gramEnd"/>
      <w:r w:rsidRPr="00860C76">
        <w:rPr>
          <w:rFonts w:ascii="Calibri" w:hAnsi="Calibri" w:cs="Calibri"/>
          <w:sz w:val="20"/>
          <w:szCs w:val="20"/>
        </w:rPr>
        <w:t xml:space="preserve"> (2021). Named Recognition Champion for TIAA.</w:t>
      </w:r>
    </w:p>
    <w:p w14:paraId="33A5E5F4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7E73855F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- Created virtual career fair for Client Services (800+ associates) and enterprise-wide Product Expo during pandemic shutdown: Enabled connection and visibility when in-person events were impossible.</w:t>
      </w:r>
    </w:p>
    <w:p w14:paraId="30D09582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6012F727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PRODUCT LEADERSHIP &amp; ENTERPRISE SOLUTIONS ARCHITECT</w:t>
      </w:r>
    </w:p>
    <w:p w14:paraId="52A070AD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Pearson Performance Solutions / Vangent, Inc.</w:t>
      </w:r>
    </w:p>
    <w:p w14:paraId="700F910F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2000 - 2011</w:t>
      </w:r>
    </w:p>
    <w:p w14:paraId="203CE217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5ABA46B9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Leading global provider of human capital management, enterprise technology solutions, and talent services for Fortune 500 clients</w:t>
      </w:r>
    </w:p>
    <w:p w14:paraId="37381427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7D69FA0D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- Sales Engineering: Served as technical expert supporting ATS sales to enterprise and government clients, including Department of Commerce (2010 Census hiring) and Extra Space Storage, translating complex platform capabilities into client-specific solutions</w:t>
      </w:r>
    </w:p>
    <w:p w14:paraId="65AAB56A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60FE848A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 xml:space="preserve">- Product Leadership: Directed enhancements to automated recruiting </w:t>
      </w:r>
      <w:proofErr w:type="gramStart"/>
      <w:r w:rsidRPr="00860C76">
        <w:rPr>
          <w:rFonts w:ascii="Calibri" w:hAnsi="Calibri" w:cs="Calibri"/>
          <w:sz w:val="20"/>
          <w:szCs w:val="20"/>
        </w:rPr>
        <w:t>solutions</w:t>
      </w:r>
      <w:proofErr w:type="gramEnd"/>
      <w:r w:rsidRPr="00860C76">
        <w:rPr>
          <w:rFonts w:ascii="Calibri" w:hAnsi="Calibri" w:cs="Calibri"/>
          <w:sz w:val="20"/>
          <w:szCs w:val="20"/>
        </w:rPr>
        <w:t xml:space="preserve"> reducing client hiring costs 50-80% and improving speed-to-hire 50%+; managed product roadmap for enterprise LCMS serving multiple business lines</w:t>
      </w:r>
    </w:p>
    <w:p w14:paraId="1F2F8497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7CFE6241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- Enterprise Solutions: Led design and deployment of enterprise learning content management systems (LCMS) and talent acquisition platforms; partnered with Fortune 500 clients (Unilever, Bank of America, Verizon Wireless) globally to deliver custom training and technology solutions</w:t>
      </w:r>
    </w:p>
    <w:p w14:paraId="460C49CE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607836C8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- Strategic Consulting: Consulted with enterprise clients across industries on workforce readiness, talent acquisition strategy, and technology implementation; managed cross-functional teams through complex multi-year engagements</w:t>
      </w:r>
    </w:p>
    <w:p w14:paraId="7EDA736A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25A4BDDC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LEADERSHIP CAPABILITIES</w:t>
      </w:r>
    </w:p>
    <w:p w14:paraId="3C1478AA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7865E021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Strategic Leadership: AI Adoption Strategy | Organizational Change Management | Workplace Transformation | Talent Development Strategy | Culture &amp; Engagement | Executive Stakeholder Management | Cross-Functional Team Leadership</w:t>
      </w:r>
    </w:p>
    <w:p w14:paraId="7754520A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78DC33CE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Operational Excellence: Budget Management ($250K-$300K) | Program Design &amp; Delivery | Vendor Management | Project Management | Data-Driven Decision Making | Performance Metrics &amp; Analytics</w:t>
      </w:r>
    </w:p>
    <w:p w14:paraId="32BC4E83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7D1CC7FC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Technical Expertise: AI Platform Development | Learning Management Systems | Workplace Technology | Prompt Engineering | User Experience Design | Digital Transformation</w:t>
      </w:r>
    </w:p>
    <w:p w14:paraId="54310AED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4EB48B29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EDUCATION &amp; RECOGNITION</w:t>
      </w:r>
    </w:p>
    <w:p w14:paraId="7F4B7171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0C4BFC2F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MS, Instructional Technology, Bloomsburg University of Pennsylvania</w:t>
      </w:r>
    </w:p>
    <w:p w14:paraId="5A163B90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BA, Art (Commercial Art), Millersville University of Pennsylvania</w:t>
      </w:r>
    </w:p>
    <w:p w14:paraId="21F7EEC3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p w14:paraId="3F8F7473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  <w:r w:rsidRPr="00860C76">
        <w:rPr>
          <w:rFonts w:ascii="Calibri" w:hAnsi="Calibri" w:cs="Calibri"/>
          <w:sz w:val="20"/>
          <w:szCs w:val="20"/>
        </w:rPr>
        <w:t>Awards: "Face of TIAA" Values VIP (2025, top 4 company-wide) | Values Champion (2022, 2025) | Change Champion (2025) | Denver Leadership Council</w:t>
      </w:r>
    </w:p>
    <w:p w14:paraId="7D732FCC" w14:textId="77777777" w:rsidR="00AE31F1" w:rsidRPr="00860C76" w:rsidRDefault="00AE31F1" w:rsidP="00860C76">
      <w:pPr>
        <w:pStyle w:val="PlainText"/>
        <w:rPr>
          <w:rFonts w:ascii="Calibri" w:hAnsi="Calibri" w:cs="Calibri"/>
          <w:sz w:val="20"/>
          <w:szCs w:val="20"/>
        </w:rPr>
      </w:pPr>
    </w:p>
    <w:sectPr w:rsidR="00AE31F1" w:rsidRPr="00860C76" w:rsidSect="00860C7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20E"/>
    <w:rsid w:val="00823168"/>
    <w:rsid w:val="00860C76"/>
    <w:rsid w:val="00A76E58"/>
    <w:rsid w:val="00AC356B"/>
    <w:rsid w:val="00AE31F1"/>
    <w:rsid w:val="00EF2B51"/>
    <w:rsid w:val="00F4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1F3E"/>
  <w15:chartTrackingRefBased/>
  <w15:docId w15:val="{1BBF91BF-960E-4FE1-B192-A5295329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C356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C356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802</Words>
  <Characters>5637</Characters>
  <Application>Microsoft Office Word</Application>
  <DocSecurity>0</DocSecurity>
  <Lines>148</Lines>
  <Paragraphs>51</Paragraphs>
  <ScaleCrop>false</ScaleCrop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Pointer</dc:creator>
  <cp:keywords/>
  <dc:description/>
  <cp:lastModifiedBy>Joe Pointer</cp:lastModifiedBy>
  <cp:revision>2</cp:revision>
  <dcterms:created xsi:type="dcterms:W3CDTF">2026-02-13T06:11:00Z</dcterms:created>
  <dcterms:modified xsi:type="dcterms:W3CDTF">2026-02-13T06:11:00Z</dcterms:modified>
</cp:coreProperties>
</file>