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140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1.1 — Tháng 8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năm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bốn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Danh mục là nền tảng đối chiếu; danh mục sai hoặc thiếu sẽ làm hai phần còn lại báo lỗi hàng loạt. Phần V đọc sau cùng vì nó chỉ hiển thị lại kết quả của ba phần trước.</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(một)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Số thẻ,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đúng số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Số thẻ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đủ và đúng số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huyện, xã.</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Quận Huyện, Mã QH,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dc:title>
  <dc:creator>Phòng Công nghệ thông tin</dc:creator>
  <dc:description>Tài liệu hướng dẫn sử dụng dành cho người dùng nghiệp vụ</dc:description>
  <cp:lastModifiedBy>Un-named</cp:lastModifiedBy>
  <cp:revision>1</cp:revision>
  <dcterms:created xsi:type="dcterms:W3CDTF">2026-08-17T04:02:25.218Z</dcterms:created>
  <dcterms:modified xsi:type="dcterms:W3CDTF">2026-08-17T04:02:25.219Z</dcterms:modified>
</cp:coreProperties>
</file>

<file path=docProps/custom.xml><?xml version="1.0" encoding="utf-8"?>
<Properties xmlns="http://schemas.openxmlformats.org/officeDocument/2006/custom-properties" xmlns:vt="http://schemas.openxmlformats.org/officeDocument/2006/docPropsVTypes"/>
</file>