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i w:val="false"/>
          <w:iCs w:val="false"/>
          <w:sz w:val="28"/>
          <w:szCs w:val="28"/>
        </w:rPr>
        <w:t xml:space="preserve">BỆNH VIỆN BẠCH MAI</w:t>
      </w:r>
    </w:p>
    <w:p>
      <w:pPr>
        <w:spacing w:after="1800" w:before="0"/>
        <w:jc w:val="center"/>
      </w:pPr>
      <w:r>
        <w:rPr>
          <w:rFonts w:ascii="Times New Roman" w:cs="Times New Roman" w:eastAsia="Times New Roman" w:hAnsi="Times New Roman"/>
          <w:b/>
          <w:bCs/>
          <w:i w:val="false"/>
          <w:iCs w:val="false"/>
          <w:sz w:val="26"/>
          <w:szCs w:val="26"/>
        </w:rPr>
        <w:t xml:space="preserve">PHÒNG CÔNG NGHỆ THÔNG TIN</w:t>
      </w:r>
    </w:p>
    <w:p>
      <w:pPr>
        <w:spacing w:after="120" w:before="0"/>
        <w:jc w:val="center"/>
      </w:pPr>
      <w:r>
        <w:rPr>
          <w:rFonts w:ascii="Times New Roman" w:cs="Times New Roman" w:eastAsia="Times New Roman" w:hAnsi="Times New Roman"/>
          <w:b/>
          <w:bCs/>
          <w:i w:val="false"/>
          <w:iCs w:val="false"/>
          <w:color w:val="1F3864"/>
          <w:sz w:val="44"/>
          <w:szCs w:val="44"/>
        </w:rPr>
        <w:t xml:space="preserve">QUY TRÌNH VẬN HÀNH</w:t>
      </w:r>
    </w:p>
    <w:p>
      <w:pPr>
        <w:spacing w:after="400" w:before="0"/>
        <w:jc w:val="center"/>
      </w:pPr>
      <w:r>
        <w:rPr>
          <w:rFonts w:ascii="Times New Roman" w:cs="Times New Roman" w:eastAsia="Times New Roman" w:hAnsi="Times New Roman"/>
          <w:b/>
          <w:bCs/>
          <w:i w:val="false"/>
          <w:iCs w:val="false"/>
          <w:color w:val="1F3864"/>
          <w:sz w:val="36"/>
          <w:szCs w:val="36"/>
        </w:rPr>
        <w:t xml:space="preserve">TIỀN GIÁM ĐỊNH HỒ SƠ BHYT THEO XML 3176</w:t>
      </w:r>
    </w:p>
    <w:p>
      <w:pPr>
        <w:spacing w:after="2400" w:before="0"/>
        <w:jc w:val="center"/>
      </w:pPr>
      <w:r>
        <w:rPr>
          <w:rFonts w:ascii="Times New Roman" w:cs="Times New Roman" w:eastAsia="Times New Roman" w:hAnsi="Times New Roman"/>
          <w:b w:val="false"/>
          <w:bCs w:val="false"/>
          <w:i/>
          <w:iCs/>
          <w:color w:val="2E5496"/>
          <w:sz w:val="26"/>
          <w:szCs w:val="26"/>
        </w:rPr>
        <w:t xml:space="preserve">Nạp hồ sơ → Kiểm tra dữ liệu → Ký số → Gửi cổng → Theo dõi kết quả</w:t>
      </w:r>
    </w:p>
    <w:p>
      <w:pPr>
        <w:spacing w:after="120" w:before="0"/>
        <w:jc w:val="center"/>
      </w:pPr>
      <w:r>
        <w:rPr>
          <w:rFonts w:ascii="Times New Roman" w:cs="Times New Roman" w:eastAsia="Times New Roman" w:hAnsi="Times New Roman"/>
          <w:b w:val="false"/>
          <w:bCs w:val="false"/>
          <w:i w:val="false"/>
          <w:iCs w:val="false"/>
          <w:sz w:val="24"/>
          <w:szCs w:val="24"/>
        </w:rPr>
        <w:t xml:space="preserve">Phiên bản 0.1 — dự thảo để góp ý</w:t>
      </w:r>
    </w:p>
    <w:p>
      <w:pPr>
        <w:spacing w:after="600" w:before="0"/>
        <w:jc w:val="center"/>
      </w:pPr>
      <w:r>
        <w:rPr>
          <w:rFonts w:ascii="Times New Roman" w:cs="Times New Roman" w:eastAsia="Times New Roman" w:hAnsi="Times New Roman"/>
          <w:b w:val="false"/>
          <w:bCs w:val="false"/>
          <w:i w:val="false"/>
          <w:iCs w:val="false"/>
          <w:sz w:val="24"/>
          <w:szCs w:val="24"/>
        </w:rPr>
        <w:t xml:space="preserve">Ngày soạn: 28/09/2026</w:t>
      </w:r>
    </w:p>
    <w:p>
      <w:pPr>
        <w:spacing w:after="120" w:before="0"/>
        <w:jc w:val="center"/>
      </w:pPr>
      <w:r>
        <w:rPr>
          <w:rFonts w:ascii="Times New Roman" w:cs="Times New Roman" w:eastAsia="Times New Roman" w:hAnsi="Times New Roman"/>
          <w:b w:val="false"/>
          <w:bCs w:val="false"/>
          <w:i/>
          <w:iCs/>
          <w:color w:val="595959"/>
          <w:sz w:val="22"/>
          <w:szCs w:val="22"/>
        </w:rPr>
        <w:t xml:space="preserve">Tài liệu gợi ý để các khoa, phòng góp ý. Các thời hạn và lịch định kỳ ghi "đề xuất" do Hội đồng / Ban Giám đốc chốt.</w:t>
      </w:r>
    </w:p>
    <w:p>
      <w:pPr>
        <w:sectPr>
          <w:pgSz w:w="11906" w:h="16838" w:orient="portrait"/>
          <w:pgMar w:top="1440" w:right="1440" w:bottom="1440" w:left="1440" w:header="708" w:footer="708" w:gutter="0"/>
          <w:pgNumType/>
          <w:docGrid w:linePitch="360"/>
        </w:sectPr>
      </w:pPr>
    </w:p>
    <w:p>
      <w:pPr>
        <w:pStyle w:val="Heading1"/>
        <w:spacing w:after="200" w:before="240"/>
      </w:pPr>
      <w:r>
        <w:rPr>
          <w:rFonts w:ascii="Times New Roman" w:cs="Times New Roman" w:eastAsia="Times New Roman" w:hAnsi="Times New Roman"/>
          <w:b/>
          <w:bCs/>
          <w:color w:val="1F3864"/>
          <w:sz w:val="34"/>
          <w:szCs w:val="34"/>
        </w:rPr>
        <w:t xml:space="preserve">1. Mục đích và phạm vi</w:t>
      </w:r>
    </w:p>
    <w:p>
      <w:pPr>
        <w:spacing w:after="120" w:line="300"/>
      </w:pPr>
      <w:r>
        <w:rPr>
          <w:rFonts w:ascii="Times New Roman" w:cs="Times New Roman" w:eastAsia="Times New Roman" w:hAnsi="Times New Roman"/>
          <w:b w:val="false"/>
          <w:bCs w:val="false"/>
          <w:i w:val="false"/>
          <w:iCs w:val="false"/>
          <w:sz w:val="26"/>
          <w:szCs w:val="26"/>
        </w:rPr>
        <w:t xml:space="preserve">Tài liệu thống nhất cách các khoa, phòng phối hợp vận hành phần mềm Tiền giám định để hồ sơ BHYT được kiểm tra và sửa lỗi TRƯỚC khi ký số và gửi lên Cổng tiếp nhận của BHXH, giảm hồ sơ bị trả về và bị xuất toán.</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Phạm vi: toàn bộ hồ sơ khám bệnh, chữa bệnh BHYT kết xuất theo chuẩn dữ liệu XML 3176 (XML1–XML15), mọi cơ sở của Bệnh viện.</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Đối tượng: các khoa lâm sàng và bộ phận tiếp đón; Phòng BHYT / Giám định; Phòng Tài chính kế toán (viện phí); Phòng Công nghệ thông tin.</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Không thay thế quy định chuyên môn và quy định thanh toán BHYT; phần mềm là công cụ hỗ trợ kiểm soát dữ liệu.</w:t>
      </w:r>
    </w:p>
    <w:p>
      <w:pPr>
        <w:pStyle w:val="Heading1"/>
        <w:spacing w:after="200" w:before="240"/>
      </w:pPr>
      <w:r>
        <w:rPr>
          <w:rFonts w:ascii="Times New Roman" w:cs="Times New Roman" w:eastAsia="Times New Roman" w:hAnsi="Times New Roman"/>
          <w:b/>
          <w:bCs/>
          <w:color w:val="1F3864"/>
          <w:sz w:val="34"/>
          <w:szCs w:val="34"/>
        </w:rPr>
        <w:t xml:space="preserve">2. Ba nguyên tắc</w:t>
      </w:r>
    </w:p>
    <w:p>
      <w:pPr>
        <w:pBdr>
          <w:top w:val="single" w:color="E0B000" w:sz="4"/>
          <w:left w:val="single" w:color="E0B000" w:sz="12"/>
          <w:bottom w:val="single" w:color="E0B000" w:sz="4"/>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Nguyên tắc 1 — Đủ 100%: </w:t>
      </w:r>
      <w:r>
        <w:rPr>
          <w:rFonts w:ascii="Times New Roman" w:cs="Times New Roman" w:eastAsia="Times New Roman" w:hAnsi="Times New Roman"/>
          <w:b w:val="false"/>
          <w:bCs w:val="false"/>
          <w:i w:val="false"/>
          <w:iCs w:val="false"/>
          <w:sz w:val="26"/>
          <w:szCs w:val="26"/>
        </w:rPr>
        <w:t xml:space="preserve">100% hồ sơ BHYT phải qua Tiền giám định trước khi lên cổng. Trong lần BHXH trả lỗi mã đối tượng 1.7 (tháng 9/2026), 12/13 hồ sơ bị trả chưa từng được nạp vào Tiền giám định nên không quy tắc nào kiểm được.</w:t>
      </w:r>
    </w:p>
    <w:p>
      <w:pPr>
        <w:pBdr>
          <w:top w:val="single" w:color="E0B000" w:sz="4"/>
          <w:left w:val="single" w:color="E0B000" w:sz="12"/>
          <w:bottom w:val="single" w:color="E0B000" w:sz="4"/>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Nguyên tắc 2 — Sửa tại nguồn: </w:t>
      </w:r>
      <w:r>
        <w:rPr>
          <w:rFonts w:ascii="Times New Roman" w:cs="Times New Roman" w:eastAsia="Times New Roman" w:hAnsi="Times New Roman"/>
          <w:b w:val="false"/>
          <w:bCs w:val="false"/>
          <w:i w:val="false"/>
          <w:iCs w:val="false"/>
          <w:sz w:val="26"/>
          <w:szCs w:val="26"/>
        </w:rPr>
        <w:t xml:space="preserve">Sai ở đâu sửa ở đó, trên HIS, tại đơn vị phát sinh. Phần mềm chỉ ĐỌC dữ liệu HIS. Sửa xong phải NẠP LẠI hồ sơ thì kết quả kiểm mới đổi; bấm "Đã xử lý" không sửa được dữ liệu.</w:t>
      </w:r>
    </w:p>
    <w:p>
      <w:pPr>
        <w:pBdr>
          <w:top w:val="single" w:color="E0B000" w:sz="4"/>
          <w:left w:val="single" w:color="E0B000" w:sz="12"/>
          <w:bottom w:val="single" w:color="E0B000" w:sz="4"/>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Nguyên tắc 3 — Cổng nhận là nhận thật: </w:t>
      </w:r>
      <w:r>
        <w:rPr>
          <w:rFonts w:ascii="Times New Roman" w:cs="Times New Roman" w:eastAsia="Times New Roman" w:hAnsi="Times New Roman"/>
          <w:b w:val="false"/>
          <w:bCs w:val="false"/>
          <w:i w:val="false"/>
          <w:iCs w:val="false"/>
          <w:sz w:val="26"/>
          <w:szCs w:val="26"/>
        </w:rPr>
        <w:t xml:space="preserve">Không có đường rút lại hồ sơ đã được cổng tiếp nhận. Mọi việc chặn lỗi phải xong trước bước ký số và gửi.</w:t>
      </w:r>
    </w:p>
    <w:p>
      <w:pPr>
        <w:pStyle w:val="Heading1"/>
        <w:spacing w:after="200" w:before="240"/>
      </w:pPr>
      <w:r>
        <w:rPr>
          <w:rFonts w:ascii="Times New Roman" w:cs="Times New Roman" w:eastAsia="Times New Roman" w:hAnsi="Times New Roman"/>
          <w:b/>
          <w:bCs/>
          <w:color w:val="1F3864"/>
          <w:sz w:val="34"/>
          <w:szCs w:val="34"/>
        </w:rPr>
        <w:t xml:space="preserve">3. Vai trò và trách nhiệm</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6420"/>
      </w:tblGrid>
      <w:tr>
        <w:trPr>
          <w:cantSplit/>
          <w:tblHeader/>
        </w:trPr>
        <w:tc>
          <w:tcPr>
            <w:tcW w:type="dxa" w:w="26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Đơn vị</w:t>
            </w:r>
          </w:p>
        </w:tc>
        <w:tc>
          <w:tcPr>
            <w:tcW w:type="dxa" w:w="64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Trách nhiệm chính</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Khoa lâm sàng</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Xử lý vi phạm y lệnh trong ngày; sửa trên HIS các lỗi hồ sơ được giao (ICD, giờ y lệnh, ngày giường, người thực hiện, chứng chỉ hành nghề…); quét mã vạch tra lỗi hồ sơ trước khi cho người bệnh ra viện.</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Tiếp đón / hành chính khoa</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đúng thẻ BHYT, nơi ĐKBĐ, mã đối tượng KCB, ngày sinh; chọn đúng loại kết thúc điều trị (chỉ "Hẹn khám lại" mới sinh giấy hẹn khám lại).</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Phòng BHYT / Giám định</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Theo dõi Danh sách hồ sơ và Dashboard lỗi; giao lỗi cho khoa và đôn đốc; quản lý danh mục mã lỗi (mức Nghiêm trọng / Cảnh báo); theo dõi kết quả cổng; tổng hợp hồ sơ BHXH trả về.</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Phòng Tài chính kế toán</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tiền cùng chi trả (MCCT); đối chiếu chi phí trước khi chốt thanh toán ra viện.</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Phòng Công nghệ thông tin</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Vận hành hàng đợi, bộ quét thư mục, ký số (HSM / USB Token), tài khoản cổng; cập nhật danh mục dùng chung; sửa quy tắc khi có báo nhầm; triển khai phiên bản mới.</w:t>
            </w:r>
          </w:p>
        </w:tc>
      </w:tr>
    </w:tbl>
    <w:p>
      <w:pPr>
        <w:sectPr>
          <w:headerReference w:type="default" r:id="rId6"/>
          <w:footerReference w:type="default" r:id="rId7"/>
          <w:pgSz w:w="11906" w:h="16838" w:orient="portrait"/>
          <w:pgMar w:top="1296" w:right="1440" w:bottom="1296" w:left="1440" w:header="708" w:footer="708" w:gutter="0"/>
          <w:pgNumType/>
          <w:docGrid w:linePitch="360"/>
        </w:sectPr>
      </w:pPr>
    </w:p>
    <w:p>
      <w:pPr>
        <w:pStyle w:val="Heading1"/>
        <w:spacing w:after="200" w:before="240"/>
      </w:pPr>
      <w:r>
        <w:rPr>
          <w:rFonts w:ascii="Times New Roman" w:cs="Times New Roman" w:eastAsia="Times New Roman" w:hAnsi="Times New Roman"/>
          <w:b/>
          <w:bCs/>
          <w:color w:val="1F3864"/>
          <w:sz w:val="34"/>
          <w:szCs w:val="34"/>
        </w:rPr>
        <w:t xml:space="preserve">4. Sơ đồ luồng</w:t>
      </w:r>
    </w:p>
    <w:p>
      <w:pPr>
        <w:pStyle w:val="Heading2"/>
        <w:spacing w:after="140" w:before="280"/>
      </w:pPr>
      <w:r>
        <w:rPr>
          <w:rFonts w:ascii="Times New Roman" w:cs="Times New Roman" w:eastAsia="Times New Roman" w:hAnsi="Times New Roman"/>
          <w:b/>
          <w:bCs/>
          <w:color w:val="2E5496"/>
          <w:sz w:val="28"/>
          <w:szCs w:val="28"/>
        </w:rPr>
        <w:t xml:space="preserve">4.1. Luồng tổng thể theo vai trò</w:t>
      </w:r>
    </w:p>
    <w:p>
      <w:pPr>
        <w:spacing w:after="80" w:before="120"/>
        <w:jc w:val="center"/>
      </w:pPr>
      <w:r>
        <w:drawing>
          <wp:inline distT="0" distB="0" distL="0" distR="0">
            <wp:extent cx="8191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191500" cy="45243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595959"/>
          <w:sz w:val="22"/>
          <w:szCs w:val="22"/>
        </w:rPr>
        <w:t xml:space="preserve">Hình 1. Luồng một hồ sơ từ khi điều trị tới khi có kết quả giám định. Đường đỏ là vòng sửa lỗi: sửa trên HIS rồi nạp lại.</w:t>
      </w:r>
    </w:p>
    <w:p>
      <w:pPr>
        <w:pageBreakBefore/>
      </w:pPr>
    </w:p>
    <w:p>
      <w:pPr>
        <w:pStyle w:val="Heading2"/>
        <w:spacing w:after="140" w:before="280"/>
      </w:pPr>
      <w:r>
        <w:rPr>
          <w:rFonts w:ascii="Times New Roman" w:cs="Times New Roman" w:eastAsia="Times New Roman" w:hAnsi="Times New Roman"/>
          <w:b/>
          <w:bCs/>
          <w:color w:val="2E5496"/>
          <w:sz w:val="28"/>
          <w:szCs w:val="28"/>
        </w:rPr>
        <w:t xml:space="preserve">4.2. Xử lý một lỗi</w:t>
      </w:r>
    </w:p>
    <w:p>
      <w:pPr>
        <w:spacing w:after="80" w:before="120"/>
        <w:jc w:val="center"/>
      </w:pPr>
      <w:r>
        <w:drawing>
          <wp:inline distT="0" distB="0" distL="0" distR="0">
            <wp:extent cx="7810500" cy="4371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810500" cy="43719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595959"/>
          <w:sz w:val="22"/>
          <w:szCs w:val="22"/>
        </w:rPr>
        <w:t xml:space="preserve">Hình 2. Mỗi lỗi đi theo một trong ba nhánh: báo nhầm, Nghiêm trọng hoặc Cảnh báo.</w:t>
      </w:r>
    </w:p>
    <w:p>
      <w:pPr>
        <w:sectPr>
          <w:headerReference w:type="default" r:id="rId8"/>
          <w:footerReference w:type="default" r:id="rId9"/>
          <w:pgSz w:w="16838" w:h="11906" w:orient="landscape"/>
          <w:pgMar w:top="1296" w:right="1440" w:bottom="1296" w:left="1440" w:header="708" w:footer="708" w:gutter="0"/>
          <w:pgNumType/>
          <w:docGrid w:linePitch="360"/>
        </w:sectPr>
      </w:pPr>
    </w:p>
    <w:p>
      <w:pPr>
        <w:pStyle w:val="Heading1"/>
        <w:spacing w:after="200" w:before="240"/>
      </w:pPr>
      <w:r>
        <w:rPr>
          <w:rFonts w:ascii="Times New Roman" w:cs="Times New Roman" w:eastAsia="Times New Roman" w:hAnsi="Times New Roman"/>
          <w:b/>
          <w:bCs/>
          <w:color w:val="1F3864"/>
          <w:sz w:val="34"/>
          <w:szCs w:val="34"/>
        </w:rPr>
        <w:t xml:space="preserve">5. Các bước chi tiết</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2500"/>
        <w:gridCol w:w="2520"/>
        <w:gridCol w:w="2500"/>
      </w:tblGrid>
      <w:tr>
        <w:trPr>
          <w:cantSplit/>
          <w:tblHeader/>
        </w:trPr>
        <w:tc>
          <w:tcPr>
            <w:tcW w:type="dxa" w:w="15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25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Ai làm</w:t>
            </w:r>
          </w:p>
        </w:tc>
        <w:tc>
          <w:tcPr>
            <w:tcW w:type="dxa" w:w="25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Xem ở đâu</w:t>
            </w:r>
          </w:p>
        </w:tc>
        <w:tc>
          <w:tcPr>
            <w:tcW w:type="dxa" w:w="25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Xong khi</w:t>
            </w:r>
          </w:p>
        </w:tc>
      </w:tr>
      <w:tr>
        <w:trPr>
          <w:cantSplit/>
        </w:trPr>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Trước khi chốt: kiểm sớm</w:t>
            </w:r>
          </w:p>
        </w:tc>
        <w:tc>
          <w:tcPr>
            <w:tcW w:type="dxa" w:w="2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 (kiểm y lệnh khoảng 60 giây sau khi phát sinh; tra thẻ BHYT người bệnh đang nằm hằng ngày); khoa xử lý</w:t>
            </w:r>
          </w:p>
        </w:tc>
        <w:tc>
          <w:tcPr>
            <w:tcW w:type="dxa" w:w="2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sai sót y lệnh → Danh sách vi phạm; Hồ sơ XML → Kết quả tra cứu thẻ</w:t>
            </w:r>
          </w:p>
        </w:tc>
        <w:tc>
          <w:tcPr>
            <w:tcW w:type="dxa" w:w="2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Vi phạm trong ngày đã "Đã xử lý" / "Bỏ qua" kèm lý do; thẻ lỗi đã sửa và bấm "Tra lại"</w:t>
            </w:r>
          </w:p>
        </w:tc>
      </w:tr>
      <w:tr>
        <w:trPr>
          <w:cantSplit/>
        </w:trPr>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 Nạp hồ sơ</w:t>
            </w:r>
          </w:p>
        </w:tc>
        <w:tc>
          <w:tcPr>
            <w:tcW w:type="dxa" w:w="2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 tự quét thư mục; Phòng BHYT nạp tay khi cần</w:t>
            </w:r>
          </w:p>
        </w:tc>
        <w:tc>
          <w:tcPr>
            <w:tcW w:type="dxa" w:w="2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XML → Xml 3176 → Nhập khẩu / Danh sách hồ sơ</w:t>
            </w:r>
          </w:p>
        </w:tc>
        <w:tc>
          <w:tcPr>
            <w:tcW w:type="dxa" w:w="2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có trong Danh sách hồ sơ; tệp hỏng nằm ở thư mục con "loi"</w:t>
            </w:r>
          </w:p>
        </w:tc>
      </w:tr>
      <w:tr>
        <w:trPr>
          <w:cantSplit/>
        </w:trPr>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 Kiểm tra</w:t>
            </w:r>
          </w:p>
        </w:tc>
        <w:tc>
          <w:tcPr>
            <w:tcW w:type="dxa" w:w="2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 chạy nền; Phòng BHYT đọc lỗi và giao khoa</w:t>
            </w:r>
          </w:p>
        </w:tc>
        <w:tc>
          <w:tcPr>
            <w:tcW w:type="dxa" w:w="2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hồ sơ (dòng đỏ), tab Lỗi XML, Tra cứu lỗi hồ sơ theo mã điều trị</w:t>
            </w:r>
          </w:p>
        </w:tc>
        <w:tc>
          <w:tcPr>
            <w:tcW w:type="dxa" w:w="2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Hàng đợi về 0 và hồ sơ hết lỗi Nghiêm trọng</w:t>
            </w:r>
          </w:p>
        </w:tc>
      </w:tr>
      <w:tr>
        <w:trPr>
          <w:cantSplit/>
        </w:trPr>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 Ký số</w:t>
            </w:r>
          </w:p>
        </w:tc>
        <w:tc>
          <w:tcPr>
            <w:tcW w:type="dxa" w:w="2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 (HSM hoặc USB Token)</w:t>
            </w:r>
          </w:p>
        </w:tc>
        <w:tc>
          <w:tcPr>
            <w:tcW w:type="dxa" w:w="2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Cột "Ký XML"</w:t>
            </w:r>
          </w:p>
        </w:tc>
        <w:tc>
          <w:tcPr>
            <w:tcW w:type="dxa" w:w="2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"Đã ký số (HSM)" hoặc "Đã ký số (USB Token)"</w:t>
            </w:r>
          </w:p>
        </w:tc>
      </w:tr>
      <w:tr>
        <w:trPr>
          <w:cantSplit/>
        </w:trPr>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 Gửi cổng</w:t>
            </w:r>
          </w:p>
        </w:tc>
        <w:tc>
          <w:tcPr>
            <w:tcW w:type="dxa" w:w="2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 — chức năng tự gửi bật theo từng cơ sở</w:t>
            </w:r>
          </w:p>
        </w:tc>
        <w:tc>
          <w:tcPr>
            <w:tcW w:type="dxa" w:w="2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Cột "Sub" (rê chuột xem thông điệp cổng)</w:t>
            </w:r>
          </w:p>
        </w:tc>
        <w:tc>
          <w:tcPr>
            <w:tcW w:type="dxa" w:w="2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Có thời điểm gửi, không kèm thông điệp lỗi</w:t>
            </w:r>
          </w:p>
        </w:tc>
      </w:tr>
      <w:tr>
        <w:trPr>
          <w:cantSplit/>
        </w:trPr>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 Theo dõi kết quả</w:t>
            </w:r>
          </w:p>
        </w:tc>
        <w:tc>
          <w:tcPr>
            <w:tcW w:type="dxa" w:w="2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Phòng BHYT / Giám định</w:t>
            </w:r>
          </w:p>
        </w:tc>
        <w:tc>
          <w:tcPr>
            <w:tcW w:type="dxa" w:w="2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"Gửi có lỗi"; Dashboard lỗi XML (phễu, Pareto mã lỗi)</w:t>
            </w:r>
          </w:p>
        </w:tc>
        <w:tc>
          <w:tcPr>
            <w:tcW w:type="dxa" w:w="2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cổng trả về đã sửa trên HIS, nạp lại và gửi lại</w:t>
            </w:r>
          </w:p>
        </w:tc>
      </w:tr>
    </w:tbl>
    <w:p>
      <w:pPr>
        <w:spacing w:after="140"/>
      </w:pPr>
    </w:p>
    <w:p>
      <w:pPr>
        <w:pStyle w:val="Heading1"/>
        <w:spacing w:after="200" w:before="240"/>
      </w:pPr>
      <w:r>
        <w:rPr>
          <w:rFonts w:ascii="Times New Roman" w:cs="Times New Roman" w:eastAsia="Times New Roman" w:hAnsi="Times New Roman"/>
          <w:b/>
          <w:bCs/>
          <w:color w:val="1F3864"/>
          <w:sz w:val="34"/>
          <w:szCs w:val="34"/>
        </w:rPr>
        <w:t xml:space="preserve">6. Xử lý lỗi theo mức</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3000"/>
        <w:gridCol w:w="4020"/>
      </w:tblGrid>
      <w:tr>
        <w:trPr>
          <w:cantSplit/>
          <w:tblHeader/>
        </w:trPr>
        <w:tc>
          <w:tcPr>
            <w:tcW w:type="dxa" w:w="20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Loại</w:t>
            </w:r>
          </w:p>
        </w:tc>
        <w:tc>
          <w:tcPr>
            <w:tcW w:type="dxa" w:w="30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Ảnh hưởng</w:t>
            </w:r>
          </w:p>
        </w:tc>
        <w:tc>
          <w:tcPr>
            <w:tcW w:type="dxa" w:w="40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xử lý</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Nghiêm trọng</w:t>
            </w:r>
          </w:p>
        </w:tc>
        <w:tc>
          <w:tcPr>
            <w:tcW w:type="dxa" w:w="3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Chặn xuất, ký số và gửi (khi cấu hình chặn đang bật — xem Phụ lục B)</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Phòng BHYT giao khoa; khoa sửa trên HIS trong hạn đề xuất 2 ngày làm việc; nạp lại tới khi hết lỗi.</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3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vẫn được ký và gửi; lỗi được ghi nhận</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Phòng BHYT tổng hợp theo tuần (Dashboard, Pareto mã lỗi); lỗi lặp lại nhiều thì nhắc khoa, đào tạo lại hoặc cân nhắc nâng lên Nghiêm trọng.</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nhầm (quy tắc sai)</w:t>
            </w:r>
          </w:p>
        </w:tc>
        <w:tc>
          <w:tcPr>
            <w:tcW w:type="dxa" w:w="3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Làm mất thời gian, dễ khiến người dùng bỏ qua cảnh báo thật</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Ghi mã hồ sơ, gửi Phòng CNTT sửa quy tắc. KHÔNG tắt mã lỗi trong danh mục để "cho qua".</w:t>
            </w:r>
          </w:p>
        </w:tc>
      </w:tr>
    </w:tbl>
    <w:p>
      <w:pPr>
        <w:pBdr>
          <w:top w:val="single" w:color="E0B000" w:sz="4"/>
          <w:left w:val="single" w:color="E0B000" w:sz="12"/>
          <w:bottom w:val="single" w:color="E0B000" w:sz="4"/>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Mã lỗi mới chưa có trong danh mục được hệ thống mặc định coi là Nghiêm trọng. Mỗi lần triển khai quy tắc mới, CNTT phải nạp mã lỗi vào danh mục (lệnh migrate) trước khi kiểm tra lại hồ sơ.</w:t>
      </w:r>
    </w:p>
    <w:p>
      <w:pPr>
        <w:pStyle w:val="Heading1"/>
        <w:spacing w:after="200" w:before="240"/>
      </w:pPr>
      <w:r>
        <w:rPr>
          <w:rFonts w:ascii="Times New Roman" w:cs="Times New Roman" w:eastAsia="Times New Roman" w:hAnsi="Times New Roman"/>
          <w:b/>
          <w:bCs/>
          <w:color w:val="1F3864"/>
          <w:sz w:val="34"/>
          <w:szCs w:val="34"/>
        </w:rPr>
        <w:t xml:space="preserve">7. Lịch vận hành đề xuất</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2200"/>
        <w:gridCol w:w="4620"/>
      </w:tblGrid>
      <w:tr>
        <w:trPr>
          <w:cantSplit/>
          <w:tblHeader/>
        </w:trPr>
        <w:tc>
          <w:tcPr>
            <w:tcW w:type="dxa" w:w="2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Tần suất</w:t>
            </w:r>
          </w:p>
        </w:tc>
        <w:tc>
          <w:tcPr>
            <w:tcW w:type="dxa" w:w="2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Ai</w:t>
            </w:r>
          </w:p>
        </w:tc>
        <w:tc>
          <w:tcPr>
            <w:tcW w:type="dxa" w:w="4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Việc</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Hằng ngày — sáng</w:t>
            </w:r>
          </w:p>
        </w:tc>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Khoa lâm sàng</w:t>
            </w:r>
          </w:p>
        </w:tc>
        <w:tc>
          <w:tcPr>
            <w:tcW w:type="dxa" w:w="4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Xử lý vi phạm y lệnh của ngày hôm trước; quét mã vạch tra lỗi hồ sơ trước khi cho ra viện.</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Hằng ngày — sáng</w:t>
            </w:r>
          </w:p>
        </w:tc>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Phòng BHYT</w:t>
            </w:r>
          </w:p>
        </w:tc>
        <w:tc>
          <w:tcPr>
            <w:tcW w:type="dxa" w:w="4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Xem hồ sơ có lỗi Nghiêm trọng của các ngày ra viện gần nhất và giao khoa; xem Kết quả tra cứu thẻ (lọc "Chỉ lỗi"), bấm "Tra lại" các thẻ đã sửa.</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Hằng ngày — chiều</w:t>
            </w:r>
          </w:p>
        </w:tc>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Phòng BHYT</w:t>
            </w:r>
          </w:p>
        </w:tc>
        <w:tc>
          <w:tcPr>
            <w:tcW w:type="dxa" w:w="4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"Gửi có lỗi", đọc thông điệp cổng, giao khoa sửa.</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Hằng ngày</w:t>
            </w:r>
          </w:p>
        </w:tc>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Phòng CNTT</w:t>
            </w:r>
          </w:p>
        </w:tc>
        <w:tc>
          <w:tcPr>
            <w:tcW w:type="dxa" w:w="4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hàng đợi, bộ quét thư mục, ký số; đọc email báo lỗi hằng ngày.</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Hằng tuần</w:t>
            </w:r>
          </w:p>
        </w:tc>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Phòng BHYT + các khoa nhiều lỗi</w:t>
            </w:r>
          </w:p>
        </w:tc>
        <w:tc>
          <w:tcPr>
            <w:tcW w:type="dxa" w:w="4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Họp ngắn theo Pareto mã lỗi trên Dashboard; đối chiếu số hồ sơ đã lên cổng với số hồ sơ đã qua Tiền giám định để phát hiện hồ sơ gửi vòng qua.</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Hằng tháng / trước quyết toán</w:t>
            </w:r>
          </w:p>
        </w:tc>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Phòng BHYT, CNTT</w:t>
            </w:r>
          </w:p>
        </w:tc>
        <w:tc>
          <w:tcPr>
            <w:tcW w:type="dxa" w:w="4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thẻ hàng loạt; rà danh sách BHXH từ chối để đề xuất quy tắc mới; cập nhật danh mục có ngày hiệu lực mới; rà lại mức lỗi trong danh mục mã lỗi.</w:t>
            </w:r>
          </w:p>
        </w:tc>
      </w:tr>
    </w:tbl>
    <w:p>
      <w:pPr>
        <w:pStyle w:val="Heading1"/>
        <w:spacing w:after="200" w:before="240"/>
      </w:pPr>
      <w:r>
        <w:rPr>
          <w:rFonts w:ascii="Times New Roman" w:cs="Times New Roman" w:eastAsia="Times New Roman" w:hAnsi="Times New Roman"/>
          <w:b/>
          <w:bCs/>
          <w:color w:val="1F3864"/>
          <w:sz w:val="34"/>
          <w:szCs w:val="34"/>
        </w:rPr>
        <w:t xml:space="preserve">8. Chỉ số theo dõi</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4200"/>
        <w:gridCol w:w="2220"/>
      </w:tblGrid>
      <w:tr>
        <w:trPr>
          <w:cantSplit/>
          <w:tblHeader/>
        </w:trPr>
        <w:tc>
          <w:tcPr>
            <w:tcW w:type="dxa" w:w="26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Chỉ số</w:t>
            </w:r>
          </w:p>
        </w:tc>
        <w:tc>
          <w:tcPr>
            <w:tcW w:type="dxa" w:w="4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tính</w:t>
            </w:r>
          </w:p>
        </w:tc>
        <w:tc>
          <w:tcPr>
            <w:tcW w:type="dxa" w:w="22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Mục tiêu đề xuất</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Độ phủ</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đã qua Tiền giám định / hồ sơ đã lên cổng</w:t>
            </w:r>
          </w:p>
        </w:tc>
        <w:tc>
          <w:tcPr>
            <w:tcW w:type="dxa" w:w="2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100%</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sạch ở lần kiểm đầu</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không có lỗi Nghiêm trọng ngay lần nạp đầu / tổng hồ sơ nạp</w:t>
            </w:r>
          </w:p>
        </w:tc>
        <w:tc>
          <w:tcPr>
            <w:tcW w:type="dxa" w:w="2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Tăng dần theo tháng</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gian sửa lỗi</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Từ lúc giao lỗi tới lúc nạp lại hết lỗi Nghiêm trọng</w:t>
            </w:r>
          </w:p>
        </w:tc>
        <w:tc>
          <w:tcPr>
            <w:tcW w:type="dxa" w:w="2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 2 ngày làm việc</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Tỷ lệ cổng / BHXH từ chối</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bị trả về / hồ sơ đã gửi; tách phần hệ thống đã báo trước</w:t>
            </w:r>
          </w:p>
        </w:tc>
        <w:tc>
          <w:tcPr>
            <w:tcW w:type="dxa" w:w="2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Giảm theo tháng</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Top 10 mã lỗi theo khoa</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Pareto mã lỗi trên Dashboard, lọc theo khoa</w:t>
            </w:r>
          </w:p>
        </w:tc>
        <w:tc>
          <w:tcPr>
            <w:tcW w:type="dxa" w:w="2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Dùng để đào tạo có trọng tâm</w:t>
            </w:r>
          </w:p>
        </w:tc>
      </w:tr>
    </w:tbl>
    <w:p>
      <w:pPr>
        <w:pStyle w:val="Heading1"/>
        <w:spacing w:after="200" w:before="240"/>
      </w:pPr>
      <w:r>
        <w:rPr>
          <w:rFonts w:ascii="Times New Roman" w:cs="Times New Roman" w:eastAsia="Times New Roman" w:hAnsi="Times New Roman"/>
          <w:b/>
          <w:bCs/>
          <w:color w:val="1F3864"/>
          <w:sz w:val="34"/>
          <w:szCs w:val="34"/>
        </w:rPr>
        <w:t xml:space="preserve">9. Việc cần chốt ngay</w:t>
      </w:r>
    </w:p>
    <w:p>
      <w:pPr>
        <w:pStyle w:val="ListParagraph"/>
        <w:numPr>
          <w:ilvl w:val="0"/>
          <w:numId w:val="2"/>
        </w:numPr>
        <w:spacing w:after="60" w:line="300"/>
      </w:pPr>
      <w:r>
        <w:rPr>
          <w:rFonts w:ascii="Times New Roman" w:cs="Times New Roman" w:eastAsia="Times New Roman" w:hAnsi="Times New Roman"/>
          <w:b/>
          <w:bCs/>
          <w:i w:val="false"/>
          <w:iCs w:val="false"/>
          <w:sz w:val="26"/>
          <w:szCs w:val="26"/>
        </w:rPr>
        <w:t xml:space="preserve">Không để hồ sơ lên cổng mà chưa qua Tiền giám định. </w:t>
      </w:r>
      <w:r>
        <w:rPr>
          <w:rFonts w:ascii="Times New Roman" w:cs="Times New Roman" w:eastAsia="Times New Roman" w:hAnsi="Times New Roman"/>
          <w:b w:val="false"/>
          <w:bCs w:val="false"/>
          <w:i w:val="false"/>
          <w:iCs w:val="false"/>
          <w:sz w:val="26"/>
          <w:szCs w:val="26"/>
        </w:rPr>
        <w:t xml:space="preserve">Mọi đường gửi khác (ví dụ HIS tự gửi) cần tắt hoặc bắt buộc đi qua Tiền giám định.</w:t>
      </w:r>
    </w:p>
    <w:p>
      <w:pPr>
        <w:pStyle w:val="ListParagraph"/>
        <w:numPr>
          <w:ilvl w:val="0"/>
          <w:numId w:val="2"/>
        </w:numPr>
        <w:spacing w:after="60" w:line="300"/>
      </w:pPr>
      <w:r>
        <w:rPr>
          <w:rFonts w:ascii="Times New Roman" w:cs="Times New Roman" w:eastAsia="Times New Roman" w:hAnsi="Times New Roman"/>
          <w:b/>
          <w:bCs/>
          <w:i w:val="false"/>
          <w:iCs w:val="false"/>
          <w:sz w:val="26"/>
          <w:szCs w:val="26"/>
        </w:rPr>
        <w:t xml:space="preserve">Sửa từ khâu nhập liệu trên HIS các lỗi có hệ thống, </w:t>
      </w:r>
      <w:r>
        <w:rPr>
          <w:rFonts w:ascii="Times New Roman" w:cs="Times New Roman" w:eastAsia="Times New Roman" w:hAnsi="Times New Roman"/>
          <w:b w:val="false"/>
          <w:bCs w:val="false"/>
          <w:i w:val="false"/>
          <w:iCs w:val="false"/>
          <w:sz w:val="26"/>
          <w:szCs w:val="26"/>
        </w:rPr>
        <w:t xml:space="preserve">ví dụ: 171 đợt điều trị người lớn khai mã đối tượng 1.7 từ tháng 7/2026; chọn "Ra viện" nhưng vẫn điền ngày hẹn khám lại. Đào tạo lại bộ phận tiếp đón.</w:t>
      </w:r>
    </w:p>
    <w:p>
      <w:pPr>
        <w:pStyle w:val="ListParagraph"/>
        <w:numPr>
          <w:ilvl w:val="0"/>
          <w:numId w:val="2"/>
        </w:numPr>
        <w:spacing w:after="60" w:line="300"/>
      </w:pPr>
      <w:r>
        <w:rPr>
          <w:rFonts w:ascii="Times New Roman" w:cs="Times New Roman" w:eastAsia="Times New Roman" w:hAnsi="Times New Roman"/>
          <w:b/>
          <w:bCs/>
          <w:i w:val="false"/>
          <w:iCs w:val="false"/>
          <w:sz w:val="26"/>
          <w:szCs w:val="26"/>
        </w:rPr>
        <w:t xml:space="preserve">Phân quyền danh mục mã lỗi: </w:t>
      </w:r>
      <w:r>
        <w:rPr>
          <w:rFonts w:ascii="Times New Roman" w:cs="Times New Roman" w:eastAsia="Times New Roman" w:hAnsi="Times New Roman"/>
          <w:b w:val="false"/>
          <w:bCs w:val="false"/>
          <w:i w:val="false"/>
          <w:iCs w:val="false"/>
          <w:sz w:val="26"/>
          <w:szCs w:val="26"/>
        </w:rPr>
        <w:t xml:space="preserve">chỉ Phòng BHYT (và CNTT) được đổi mức Nghiêm trọng / Cảnh báo; mỗi lần đổi ghi lý do.</w:t>
      </w:r>
    </w:p>
    <w:p>
      <w:pPr>
        <w:pStyle w:val="ListParagraph"/>
        <w:numPr>
          <w:ilvl w:val="0"/>
          <w:numId w:val="2"/>
        </w:numPr>
        <w:spacing w:after="60" w:line="300"/>
      </w:pPr>
      <w:r>
        <w:rPr>
          <w:rFonts w:ascii="Times New Roman" w:cs="Times New Roman" w:eastAsia="Times New Roman" w:hAnsi="Times New Roman"/>
          <w:b/>
          <w:bCs/>
          <w:i w:val="false"/>
          <w:iCs w:val="false"/>
          <w:sz w:val="26"/>
          <w:szCs w:val="26"/>
        </w:rPr>
        <w:t xml:space="preserve">Quy trình triển khai của CNTT: </w:t>
      </w:r>
      <w:r>
        <w:rPr>
          <w:rFonts w:ascii="Times New Roman" w:cs="Times New Roman" w:eastAsia="Times New Roman" w:hAnsi="Times New Roman"/>
          <w:b w:val="false"/>
          <w:bCs w:val="false"/>
          <w:i w:val="false"/>
          <w:iCs w:val="false"/>
          <w:sz w:val="26"/>
          <w:szCs w:val="26"/>
        </w:rPr>
        <w:t xml:space="preserve">kéo mã nguồn → php artisan migrate → php artisan config:cache → php artisan queue:restart → kiểm tra lại các hồ sơ bị ảnh hưởng.</w:t>
      </w:r>
    </w:p>
    <w:p>
      <w:pPr>
        <w:pStyle w:val="Heading1"/>
        <w:pageBreakBefore/>
        <w:spacing w:after="200" w:before="240"/>
      </w:pPr>
      <w:r>
        <w:rPr>
          <w:rFonts w:ascii="Times New Roman" w:cs="Times New Roman" w:eastAsia="Times New Roman" w:hAnsi="Times New Roman"/>
          <w:b/>
          <w:bCs/>
          <w:color w:val="1F3864"/>
          <w:sz w:val="34"/>
          <w:szCs w:val="34"/>
        </w:rPr>
        <w:t xml:space="preserve">Phụ lục A. Tra nhanh màn hình</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4000"/>
        <w:gridCol w:w="5020"/>
      </w:tblGrid>
      <w:tr>
        <w:trPr>
          <w:cantSplit/>
          <w:tblHeader/>
        </w:trPr>
        <w:tc>
          <w:tcPr>
            <w:tcW w:type="dxa" w:w="40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Việc</w:t>
            </w:r>
          </w:p>
        </w:tc>
        <w:tc>
          <w:tcPr>
            <w:tcW w:type="dxa" w:w="50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Đường dẫn trên phần mềm</w:t>
            </w:r>
          </w:p>
        </w:tc>
      </w:tr>
      <w:tr>
        <w:trPr>
          <w:cantSplit/>
        </w:trPr>
        <w:tc>
          <w:tcPr>
            <w:tcW w:type="dxa" w:w="4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Xem, lọc, xuất danh sách hồ sơ</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XML → Xml 3176 → Danh sách hồ sơ</w:t>
            </w:r>
          </w:p>
        </w:tc>
      </w:tr>
      <w:tr>
        <w:trPr>
          <w:cantSplit/>
        </w:trPr>
        <w:tc>
          <w:tcPr>
            <w:tcW w:type="dxa" w:w="4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hồ sơ thủ công</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XML → Xml 3176 → Nhập khẩu hồ sơ</w:t>
            </w:r>
          </w:p>
        </w:tc>
      </w:tr>
      <w:tr>
        <w:trPr>
          <w:cantSplit/>
        </w:trPr>
        <w:tc>
          <w:tcPr>
            <w:tcW w:type="dxa" w:w="4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toàn bộ lỗi của một hồ sơ (quét mã vạch)</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lỗi hồ sơ theo mã điều trị</w:t>
            </w:r>
          </w:p>
        </w:tc>
      </w:tr>
      <w:tr>
        <w:trPr>
          <w:cantSplit/>
        </w:trPr>
        <w:tc>
          <w:tcPr>
            <w:tcW w:type="dxa" w:w="4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Vi phạm y lệnh</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sai sót y lệnh → Danh sách vi phạm</w:t>
            </w:r>
          </w:p>
        </w:tc>
      </w:tr>
      <w:tr>
        <w:trPr>
          <w:cantSplit/>
        </w:trPr>
        <w:tc>
          <w:tcPr>
            <w:tcW w:type="dxa" w:w="4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Kết quả tra thẻ, tra lại thẻ lỗi</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XML → Kết quả tra cứu thẻ</w:t>
            </w:r>
          </w:p>
        </w:tc>
      </w:tr>
      <w:tr>
        <w:trPr>
          <w:cantSplit/>
        </w:trPr>
        <w:tc>
          <w:tcPr>
            <w:tcW w:type="dxa" w:w="4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Tiền cùng chi trả</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BHYT → Tra cứu tiền cùng chi trả</w:t>
            </w:r>
          </w:p>
        </w:tc>
      </w:tr>
      <w:tr>
        <w:trPr>
          <w:cantSplit/>
        </w:trPr>
        <w:tc>
          <w:tcPr>
            <w:tcW w:type="dxa" w:w="4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Mức lỗi Nghiêm trọng / Cảnh báo</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Quản lý danh mục → BHYT → Danh mục mã lỗi XML 3176</w:t>
            </w:r>
          </w:p>
        </w:tc>
      </w:tr>
      <w:tr>
        <w:trPr>
          <w:cantSplit/>
        </w:trPr>
        <w:tc>
          <w:tcPr>
            <w:tcW w:type="dxa" w:w="4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Chỉ số, phễu, Pareto mã lỗi</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Dashboard lỗi XML</w:t>
            </w:r>
          </w:p>
        </w:tc>
      </w:tr>
    </w:tbl>
    <w:p>
      <w:pPr>
        <w:pStyle w:val="Heading1"/>
        <w:spacing w:after="200" w:before="240"/>
      </w:pPr>
      <w:r>
        <w:rPr>
          <w:rFonts w:ascii="Times New Roman" w:cs="Times New Roman" w:eastAsia="Times New Roman" w:hAnsi="Times New Roman"/>
          <w:b/>
          <w:bCs/>
          <w:color w:val="1F3864"/>
          <w:sz w:val="34"/>
          <w:szCs w:val="34"/>
        </w:rPr>
        <w:t xml:space="preserve">Phụ lục B. Công tắc cấu hình (dành cho CNTT)</w:t>
      </w:r>
    </w:p>
    <w:p>
      <w:pPr>
        <w:shd w:fill="E7EEF7" w:val="clear"/>
        <w:spacing w:after="160" w:before="60" w:line="300"/>
        <w:ind w:left="120" w:right="120"/>
      </w:pPr>
      <w:r>
        <w:rPr>
          <w:rFonts w:ascii="Times New Roman" w:cs="Times New Roman" w:eastAsia="Times New Roman" w:hAnsi="Times New Roman"/>
          <w:b/>
          <w:bCs/>
          <w:i/>
          <w:iCs/>
          <w:sz w:val="26"/>
          <w:szCs w:val="26"/>
        </w:rPr>
        <w:t xml:space="preserve">Dành cho bộ phận CNTT. </w:t>
      </w:r>
      <w:r>
        <w:rPr>
          <w:rFonts w:ascii="Times New Roman" w:cs="Times New Roman" w:eastAsia="Times New Roman" w:hAnsi="Times New Roman"/>
          <w:b w:val="false"/>
          <w:bCs w:val="false"/>
          <w:i/>
          <w:iCs/>
          <w:sz w:val="26"/>
          <w:szCs w:val="26"/>
        </w:rPr>
        <w:t xml:space="preserve">Các công tắc dưới đây quyết định hồ sơ lỗi có bị chặn hay không. Ghi rõ giá trị đang dùng trên máy chủ thật và người chịu trách nhiệm mỗi lần đổi.</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3100"/>
        <w:gridCol w:w="3400"/>
        <w:gridCol w:w="2520"/>
      </w:tblGrid>
      <w:tr>
        <w:trPr>
          <w:cantSplit/>
          <w:tblHeader/>
        </w:trPr>
        <w:tc>
          <w:tcPr>
            <w:tcW w:type="dxa" w:w="31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Khóa cấu hình</w:t>
            </w:r>
          </w:p>
        </w:tc>
        <w:tc>
          <w:tcPr>
            <w:tcW w:type="dxa" w:w="3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c>
          <w:tcPr>
            <w:tcW w:type="dxa" w:w="25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Khuyến nghị</w:t>
            </w:r>
          </w:p>
        </w:tc>
      </w:tr>
      <w:tr>
        <w:trPr>
          <w:cantSplit/>
        </w:trPr>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organization.xml_3176_not_check</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true = bỏ qua kiểm tra chéo (XMLComplete) khi nạp</w:t>
            </w:r>
          </w:p>
        </w:tc>
        <w:tc>
          <w:tcPr>
            <w:tcW w:type="dxa" w:w="2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false — luôn kiểm tra</w:t>
            </w:r>
          </w:p>
        </w:tc>
      </w:tr>
      <w:tr>
        <w:trPr>
          <w:cantSplit/>
        </w:trPr>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organization.export_xml_not_check</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true = vẫn xuất / ký / gửi hồ sơ có lỗi Nghiêm trọng</w:t>
            </w:r>
          </w:p>
        </w:tc>
        <w:tc>
          <w:tcPr>
            <w:tcW w:type="dxa" w:w="2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false khi các khoa đã quen quy trình; để true thì mức Nghiêm trọng chỉ còn là cảnh báo</w:t>
            </w:r>
          </w:p>
        </w:tc>
      </w:tr>
      <w:tr>
        <w:trPr>
          <w:cantSplit/>
        </w:trPr>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organization.BHYT.submit_xml_3176_enabled</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Bật / tắt chức năng gửi hồ sơ lên cổng</w:t>
            </w:r>
          </w:p>
        </w:tc>
        <w:tc>
          <w:tcPr>
            <w:tcW w:type="dxa" w:w="2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true trên máy chủ gửi thật</w:t>
            </w:r>
          </w:p>
        </w:tc>
      </w:tr>
      <w:tr>
        <w:trPr>
          <w:cantSplit/>
        </w:trPr>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xml3176.export_xml3176_enabled</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Tự động xuất XML cho hồ sơ không có lỗi Nghiêm trọng</w:t>
            </w:r>
          </w:p>
        </w:tc>
        <w:tc>
          <w:tcPr>
            <w:tcW w:type="dxa" w:w="2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true</w:t>
            </w:r>
          </w:p>
        </w:tc>
      </w:tr>
      <w:tr>
        <w:trPr>
          <w:cantSplit/>
        </w:trPr>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xml3176.sign_queue_name (dịch vụ QLBV JobSignXml3176)</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Hàng đợi bước ký số trong chuỗi kiểm → xuất → ký → gửi</w:t>
            </w:r>
          </w:p>
        </w:tc>
        <w:tc>
          <w:tcPr>
            <w:tcW w:type="dxa" w:w="2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Dịch vụ phải luôn chạy; dừng thì mọi hồ sơ nằm chờ ở bước ký</w:t>
            </w:r>
          </w:p>
        </w:tc>
      </w:tr>
    </w:tbl>
    <w:p>
      <w:pPr>
        <w:shd w:fill="E7EEF7" w:val="clear"/>
        <w:spacing w:after="160" w:before="60" w:line="300"/>
        <w:ind w:left="120" w:right="120"/>
      </w:pPr>
      <w:r>
        <w:rPr>
          <w:rFonts w:ascii="Times New Roman" w:cs="Times New Roman" w:eastAsia="Times New Roman" w:hAnsi="Times New Roman"/>
          <w:b/>
          <w:bCs/>
          <w:i/>
          <w:iCs/>
          <w:sz w:val="26"/>
          <w:szCs w:val="26"/>
        </w:rPr>
        <w:t xml:space="preserve">Dành cho bộ phận CNTT. </w:t>
      </w:r>
      <w:r>
        <w:rPr>
          <w:rFonts w:ascii="Times New Roman" w:cs="Times New Roman" w:eastAsia="Times New Roman" w:hAnsi="Times New Roman"/>
          <w:b w:val="false"/>
          <w:bCs w:val="false"/>
          <w:i/>
          <w:iCs/>
          <w:sz w:val="26"/>
          <w:szCs w:val="26"/>
        </w:rPr>
        <w:t xml:space="preserve">Hồ sơ đã kiểm xong mà chưa xuất (ví dụ sau sự cố HSM hoặc mất kết nối cơ sở dữ liệu) được đẩy lại bằng lệnh php artisan xml3176:chay-lai-tu-xuat — lệnh chỉ đếm; thêm --thuc-hien để đẩy thật, --ma-lk=&lt;mã&gt; để chỉ định từng hồ sơ. Chỉ chạy sau khi hàng đợi kiểm đã cạn (select count(*) from jobs where queue='JobXml3176' trả về 0); lệnh an toàn khi chạy lại — mỗi lần cấp mã phiên mới, chuỗi cũ tự thôi — nên chạy lại nếu lúc trước còn hồ sơ đang kiểm dở. Lệnh từ chối chạy khi xml3176.export_xml3176_enabled tắt; hồ sơ nạp qua đường không cho phép xuất (cho_phep_xuat=false) không phân biệt được và sẽ bị chọn, ở cơ sở đó hãy dùng --ma-lk.</w:t>
      </w:r>
    </w:p>
    <w:sectPr>
      <w:headerReference w:type="default" r:id="rId10"/>
      <w:footerReference w:type="default" r:id="rId11"/>
      <w:pgSz w:w="11906" w:h="16838"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20"/>
        <w:szCs w:val="20"/>
      </w:rPr>
      <w:t xml:space="preserve">Phiên bản 0.1 — dự thảo để góp ý   ·   Trang </w:t>
    </w:r>
    <w:r>
      <w:rPr>
        <w:rFonts w:ascii="Times New Roman" w:cs="Times New Roman" w:eastAsia="Times New Roman" w:hAnsi="Times New Roman"/>
        <w:color w:val="808080"/>
        <w:sz w:val="20"/>
        <w:szCs w:val="20"/>
      </w:rPr>
      <w:fldChar w:fldCharType="begin"/>
      <w:instrText xml:space="preserve">PAGE</w:instrText>
      <w:fldChar w:fldCharType="separate"/>
      <w:fldChar w:fldCharType="end"/>
    </w:r>
    <w:r>
      <w:rPr>
        <w:rFonts w:ascii="Times New Roman" w:cs="Times New Roman" w:eastAsia="Times New Roman" w:hAnsi="Times New Roman"/>
        <w:color w:val="808080"/>
        <w:sz w:val="20"/>
        <w:szCs w:val="20"/>
      </w:rPr>
      <w:t xml:space="preserve"> / </w:t>
    </w:r>
    <w:r>
      <w:rPr>
        <w:rFonts w:ascii="Times New Roman" w:cs="Times New Roman" w:eastAsia="Times New Roman" w:hAnsi="Times New Roman"/>
        <w:color w:val="808080"/>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20"/>
        <w:szCs w:val="20"/>
      </w:rPr>
      <w:t xml:space="preserve">Phiên bản 0.1 — dự thảo để góp ý   ·   Trang </w:t>
    </w:r>
    <w:r>
      <w:rPr>
        <w:rFonts w:ascii="Times New Roman" w:cs="Times New Roman" w:eastAsia="Times New Roman" w:hAnsi="Times New Roman"/>
        <w:color w:val="808080"/>
        <w:sz w:val="20"/>
        <w:szCs w:val="20"/>
      </w:rPr>
      <w:fldChar w:fldCharType="begin"/>
      <w:instrText xml:space="preserve">PAGE</w:instrText>
      <w:fldChar w:fldCharType="separate"/>
      <w:fldChar w:fldCharType="end"/>
    </w:r>
    <w:r>
      <w:rPr>
        <w:rFonts w:ascii="Times New Roman" w:cs="Times New Roman" w:eastAsia="Times New Roman" w:hAnsi="Times New Roman"/>
        <w:color w:val="808080"/>
        <w:sz w:val="20"/>
        <w:szCs w:val="20"/>
      </w:rPr>
      <w:t xml:space="preserve"> / </w:t>
    </w:r>
    <w:r>
      <w:rPr>
        <w:rFonts w:ascii="Times New Roman" w:cs="Times New Roman" w:eastAsia="Times New Roman" w:hAnsi="Times New Roman"/>
        <w:color w:val="808080"/>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20"/>
        <w:szCs w:val="20"/>
      </w:rPr>
      <w:t xml:space="preserve">Phiên bản 0.1 — dự thảo để góp ý   ·   Trang </w:t>
    </w:r>
    <w:r>
      <w:rPr>
        <w:rFonts w:ascii="Times New Roman" w:cs="Times New Roman" w:eastAsia="Times New Roman" w:hAnsi="Times New Roman"/>
        <w:color w:val="808080"/>
        <w:sz w:val="20"/>
        <w:szCs w:val="20"/>
      </w:rPr>
      <w:fldChar w:fldCharType="begin"/>
      <w:instrText xml:space="preserve">PAGE</w:instrText>
      <w:fldChar w:fldCharType="separate"/>
      <w:fldChar w:fldCharType="end"/>
    </w:r>
    <w:r>
      <w:rPr>
        <w:rFonts w:ascii="Times New Roman" w:cs="Times New Roman" w:eastAsia="Times New Roman" w:hAnsi="Times New Roman"/>
        <w:color w:val="808080"/>
        <w:sz w:val="20"/>
        <w:szCs w:val="20"/>
      </w:rPr>
      <w:t xml:space="preserve"> / </w:t>
    </w:r>
    <w:r>
      <w:rPr>
        <w:rFonts w:ascii="Times New Roman" w:cs="Times New Roman" w:eastAsia="Times New Roman" w:hAnsi="Times New Roman"/>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7" w:sz="4"/>
      </w:pBdr>
      <w:jc w:val="right"/>
    </w:pPr>
    <w:r>
      <w:rPr>
        <w:rFonts w:ascii="Times New Roman" w:cs="Times New Roman" w:eastAsia="Times New Roman" w:hAnsi="Times New Roman"/>
        <w:color w:val="808080"/>
        <w:sz w:val="18"/>
        <w:szCs w:val="18"/>
      </w:rPr>
      <w:t xml:space="preserve">Quy trình vận hành Tiền giám định hồ sơ XML 3176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7" w:sz="4"/>
      </w:pBdr>
      <w:jc w:val="right"/>
    </w:pPr>
    <w:r>
      <w:rPr>
        <w:rFonts w:ascii="Times New Roman" w:cs="Times New Roman" w:eastAsia="Times New Roman" w:hAnsi="Times New Roman"/>
        <w:color w:val="808080"/>
        <w:sz w:val="18"/>
        <w:szCs w:val="18"/>
      </w:rPr>
      <w:t xml:space="preserve">Quy trình vận hành Tiền giám định hồ sơ XML 3176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7" w:sz="4"/>
      </w:pBdr>
      <w:jc w:val="right"/>
    </w:pPr>
    <w:r>
      <w:rPr>
        <w:rFonts w:ascii="Times New Roman" w:cs="Times New Roman" w:eastAsia="Times New Roman" w:hAnsi="Times New Roman"/>
        <w:color w:val="808080"/>
        <w:sz w:val="18"/>
        <w:szCs w:val="18"/>
      </w:rPr>
      <w:t xml:space="preserve">Quy trình vận hành Tiền giám định hồ sơ XML 3176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60"/>
      </w:pPr>
    </w:lvl>
    <w:lvl w:ilvl="1" w:tentative="1">
      <w:start w:val="1"/>
      <w:numFmt w:val="bullet"/>
      <w:lvlText w:val="◦"/>
      <w:lvlJc w:val="left"/>
      <w:pPr>
        <w:ind w:left="980" w:hanging="260"/>
      </w:pPr>
    </w:lvl>
  </w:abstractNum>
  <w:abstractNum w:abstractNumId="3" w15:restartNumberingAfterBreak="0">
    <w:multiLevelType w:val="hybridMultilevel"/>
    <w:lvl w:ilvl="0" w: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4bc76f072c2de24f6f67ea12a1ddb19b28570ca5.png"/><Relationship Id="rId14" Type="http://schemas.openxmlformats.org/officeDocument/2006/relationships/image" Target="media/8d48175a133444c021cf0037ecf003b8c2cf3f9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vận hành Tiền giám định hồ sơ BHYT theo XML 3176</dc:title>
  <dc:creator>Phòng Công nghệ thông tin</dc:creator>
  <dc:description>Gợi ý quy trình vận hành cho các khoa, phòng</dc:description>
  <cp:lastModifiedBy>Un-named</cp:lastModifiedBy>
  <cp:revision>1</cp:revision>
  <dcterms:created xsi:type="dcterms:W3CDTF">2026-09-29T09:18:53.061Z</dcterms:created>
  <dcterms:modified xsi:type="dcterms:W3CDTF">2026-09-29T09:18:53.061Z</dcterms:modified>
</cp:coreProperties>
</file>

<file path=docProps/custom.xml><?xml version="1.0" encoding="utf-8"?>
<Properties xmlns="http://schemas.openxmlformats.org/officeDocument/2006/custom-properties" xmlns:vt="http://schemas.openxmlformats.org/officeDocument/2006/docPropsVTypes"/>
</file>