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jc w:val="center"/>
      </w:pPr>
      <w:r>
        <w:rPr>
          <w:rFonts w:ascii="Calibri" w:cs="Calibri" w:eastAsia="Calibri" w:hAnsi="Calibri"/>
          <w:b/>
          <w:bCs/>
          <w:color w:val="0B0B0B"/>
          <w:sz w:val="40"/>
          <w:szCs w:val="40"/>
        </w:rPr>
        <w:t xml:space="preserve">BÁO CÁO BÀI THỰC HÀNH BUỔI 12</w:t>
      </w:r>
    </w:p>
    <w:p>
      <w:pPr>
        <w:spacing w:after="500"/>
        <w:jc w:val="center"/>
      </w:pPr>
      <w:r>
        <w:rPr>
          <w:rFonts w:ascii="Calibri" w:cs="Calibri" w:eastAsia="Calibri" w:hAnsi="Calibri"/>
          <w:color w:val="2A78D6"/>
          <w:sz w:val="27"/>
          <w:szCs w:val="27"/>
        </w:rPr>
        <w:t xml:space="preserve">Chuẩn hóa, Làm giàu Metadata và Xây dựng Đồ thị Tri thức</w:t>
      </w:r>
    </w:p>
    <w:p>
      <w:pPr>
        <w:spacing w:after="100"/>
        <w:jc w:val="center"/>
      </w:pPr>
      <w:r>
        <w:rPr>
          <w:rFonts w:ascii="Calibri" w:cs="Calibri" w:eastAsia="Calibri" w:hAnsi="Calibri"/>
          <w:color w:val="6B6A66"/>
          <w:sz w:val="22"/>
          <w:szCs w:val="22"/>
        </w:rPr>
        <w:t xml:space="preserve">Tập dữ liệu: 30 văn bản pháp luật ngân hàng – tài chính</w:t>
      </w:r>
    </w:p>
    <w:p>
      <w:pPr>
        <w:spacing w:after="1000"/>
        <w:jc w:val="center"/>
      </w:pPr>
      <w:r>
        <w:rPr>
          <w:rFonts w:ascii="Calibri" w:cs="Calibri" w:eastAsia="Calibri" w:hAnsi="Calibri"/>
          <w:color w:val="6B6A66"/>
          <w:sz w:val="22"/>
          <w:szCs w:val="22"/>
        </w:rPr>
        <w:t xml:space="preserve">Công nghệ: Python · Rule-based NER · LLM · Neo4j</w:t>
      </w:r>
    </w:p>
    <w:tbl>
      <w:tblPr>
        <w:tblW w:type="dxa" w:w="7800"/>
        <w:tblBorders>
          <w:top w:val="single" w:color="D8D7D2" w:sz="4"/>
          <w:left w:val="none"/>
          <w:bottom w:val="single" w:color="D8D7D2" w:sz="4"/>
          <w:right w:val="none"/>
          <w:insideH w:val="single" w:color="E7E6E1" w:sz="2"/>
          <w:insideV w:val="none"/>
        </w:tblBorders>
      </w:tblPr>
      <w:tblGrid>
        <w:gridCol w:w="5200"/>
        <w:gridCol w:w="2600"/>
      </w:tblGrid>
      <w:tr>
        <w:trPr>
          <w:tblHeader/>
        </w:trPr>
        <w:tc>
          <w:tcPr>
            <w:tcW w:type="dxa" w:w="5200"/>
            <w:shd w:fill="EDF3FB" w:color="auto" w:val="clear"/>
            <w:tcMar>
              <w:top w:type="dxa" w:w="60"/>
              <w:left w:type="dxa" w:w="110"/>
              <w:bottom w:type="dxa" w:w="60"/>
              <w:right w:type="dxa" w:w="110"/>
            </w:tcMar>
          </w:tcPr>
          <w:p>
            <w:pPr>
              <w:spacing w:after="0" w:line="240"/>
            </w:pPr>
            <w:r>
              <w:rPr>
                <w:rFonts w:ascii="Calibri" w:cs="Calibri" w:eastAsia="Calibri" w:hAnsi="Calibri"/>
                <w:b/>
                <w:bCs/>
                <w:color w:val="0B0B0B"/>
                <w:sz w:val="20"/>
                <w:szCs w:val="20"/>
              </w:rPr>
              <w:t xml:space="preserve">Nội dung</w:t>
            </w:r>
          </w:p>
        </w:tc>
        <w:tc>
          <w:tcPr>
            <w:tcW w:type="dxa" w:w="2600"/>
            <w:shd w:fill="EDF3FB" w:color="auto" w:val="clear"/>
            <w:tcMar>
              <w:top w:type="dxa" w:w="60"/>
              <w:left w:type="dxa" w:w="110"/>
              <w:bottom w:type="dxa" w:w="60"/>
              <w:right w:type="dxa" w:w="110"/>
            </w:tcMar>
          </w:tcPr>
          <w:p>
            <w:pPr>
              <w:spacing w:after="0" w:line="240"/>
              <w:jc w:val="right"/>
            </w:pPr>
            <w:r>
              <w:rPr>
                <w:rFonts w:ascii="Calibri" w:cs="Calibri" w:eastAsia="Calibri" w:hAnsi="Calibri"/>
                <w:b/>
                <w:bCs/>
                <w:color w:val="0B0B0B"/>
                <w:sz w:val="20"/>
                <w:szCs w:val="20"/>
              </w:rPr>
              <w:t xml:space="preserve">Kết quả</w:t>
            </w:r>
          </w:p>
        </w:tc>
      </w:tr>
      <w:tr>
        <w:tc>
          <w:tcPr>
            <w:tcW w:type="dxa" w:w="52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Số văn bản xử lý</w:t>
            </w:r>
          </w:p>
        </w:tc>
        <w:tc>
          <w:tcPr>
            <w:tcW w:type="dxa" w:w="26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30 / 30</w:t>
            </w:r>
          </w:p>
        </w:tc>
      </w:tr>
      <w:tr>
        <w:tc>
          <w:tcPr>
            <w:tcW w:type="dxa" w:w="52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Node trong Knowledge Graph</w:t>
            </w:r>
          </w:p>
        </w:tc>
        <w:tc>
          <w:tcPr>
            <w:tcW w:type="dxa" w:w="26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159</w:t>
            </w:r>
          </w:p>
        </w:tc>
      </w:tr>
      <w:tr>
        <w:tc>
          <w:tcPr>
            <w:tcW w:type="dxa" w:w="52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Quan hệ đã kiểm định</w:t>
            </w:r>
          </w:p>
        </w:tc>
        <w:tc>
          <w:tcPr>
            <w:tcW w:type="dxa" w:w="26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226</w:t>
            </w:r>
          </w:p>
        </w:tc>
      </w:tr>
      <w:tr>
        <w:tc>
          <w:tcPr>
            <w:tcW w:type="dxa" w:w="52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Số bước hoàn thành</w:t>
            </w:r>
          </w:p>
        </w:tc>
        <w:tc>
          <w:tcPr>
            <w:tcW w:type="dxa" w:w="26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9 / 9</w:t>
            </w:r>
          </w:p>
        </w:tc>
      </w:tr>
      <w:tr>
        <w:tc>
          <w:tcPr>
            <w:tcW w:type="dxa" w:w="52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Kiểm tra import lần 2 (idempotent)</w:t>
            </w:r>
          </w:p>
        </w:tc>
        <w:tc>
          <w:tcPr>
            <w:tcW w:type="dxa" w:w="26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PASS</w:t>
            </w:r>
          </w:p>
        </w:tc>
      </w:tr>
    </w:tbl>
    <w:p>
      <w:pPr>
        <w:spacing w:before="1200"/>
        <w:jc w:val="center"/>
      </w:pPr>
      <w:r>
        <w:rPr>
          <w:rFonts w:ascii="Calibri" w:cs="Calibri" w:eastAsia="Calibri" w:hAnsi="Calibri"/>
          <w:color w:val="6B6A66"/>
          <w:sz w:val="21"/>
          <w:szCs w:val="21"/>
        </w:rPr>
        <w:t xml:space="preserve">Ngày lập báo cáo: 14/08/2026</w:t>
      </w:r>
    </w:p>
    <w:p>
      <w:r>
        <w:br w:type="page"/>
      </w:r>
    </w:p>
    <w:p>
      <w:pPr>
        <w:pStyle w:val="Heading1"/>
        <w:spacing w:after="140" w:before="280"/>
      </w:pPr>
      <w:r>
        <w:rPr>
          <w:rFonts w:ascii="Calibri" w:cs="Calibri" w:eastAsia="Calibri" w:hAnsi="Calibri"/>
          <w:b/>
          <w:bCs/>
          <w:color w:val="0B0B0B"/>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200" w:line="260"/>
      </w:pPr>
      <w:r>
        <w:rPr>
          <w:rFonts w:ascii="Calibri" w:cs="Calibri" w:eastAsia="Calibri" w:hAnsi="Calibri"/>
          <w:i/>
          <w:iCs/>
          <w:color w:val="6B6A66"/>
          <w:sz w:val="19"/>
          <w:szCs w:val="19"/>
        </w:rPr>
        <w:t xml:space="preserve">Sau khi mở file trong Word, nhấn Ctrl+A rồi F9 để cập nhật mục lục.</w:t>
      </w:r>
    </w:p>
    <w:p>
      <w:r>
        <w:br w:type="page"/>
      </w:r>
    </w:p>
    <w:p>
      <w:pPr>
        <w:pStyle w:val="Heading1"/>
        <w:spacing w:after="140" w:before="280"/>
      </w:pPr>
      <w:r>
        <w:rPr>
          <w:rFonts w:ascii="Calibri" w:cs="Calibri" w:eastAsia="Calibri" w:hAnsi="Calibri"/>
          <w:b/>
          <w:bCs/>
          <w:color w:val="0B0B0B"/>
          <w:sz w:val="30"/>
          <w:szCs w:val="30"/>
        </w:rPr>
        <w:t xml:space="preserve">1. Mục tiêu và phạm vi</w:t>
      </w:r>
    </w:p>
    <w:p>
      <w:pPr>
        <w:spacing w:after="120" w:line="276"/>
      </w:pPr>
      <w:r>
        <w:rPr>
          <w:rFonts w:ascii="Calibri" w:cs="Calibri" w:eastAsia="Calibri" w:hAnsi="Calibri"/>
          <w:color w:val="0B0B0B"/>
          <w:sz w:val="22"/>
          <w:szCs w:val="22"/>
        </w:rPr>
        <w:t xml:space="preserve">Bài thực hành xây dựng một Knowledge Graph (đồ thị tri thức) từ 30 văn bản pháp luật thuộc lĩnh vực ngân hàng – tài chính, đi qua trọn vẹn pipeline từ dữ liệu thô đến đồ thị lưu trong Neo4j:</w:t>
      </w:r>
    </w:p>
    <w:p>
      <w:pPr>
        <w:spacing w:after="200" w:line="260"/>
      </w:pPr>
      <w:r>
        <w:rPr>
          <w:rFonts w:ascii="Calibri" w:cs="Calibri" w:eastAsia="Calibri" w:hAnsi="Calibri"/>
          <w:i/>
          <w:iCs/>
          <w:color w:val="6B6A66"/>
          <w:sz w:val="19"/>
          <w:szCs w:val="19"/>
        </w:rPr>
        <w:t xml:space="preserve">Raw Data → Data Validation → HTML Cleaning → Rule-based Candidate Extraction → LLM Entity Extraction → Metadata Enrichment → Entity Normalization → Relationship Extraction → Relationship Validation → Knowledge Graph → Neo4j</w:t>
      </w:r>
    </w:p>
    <w:p>
      <w:pPr>
        <w:spacing w:after="120" w:line="276"/>
      </w:pPr>
      <w:r>
        <w:rPr>
          <w:rFonts w:ascii="Calibri" w:cs="Calibri" w:eastAsia="Calibri" w:hAnsi="Calibri"/>
          <w:b/>
          <w:bCs/>
          <w:color w:val="0B0B0B"/>
          <w:sz w:val="22"/>
          <w:szCs w:val="22"/>
        </w:rPr>
        <w:t xml:space="preserve">Bốn nguyên tắc bắt buộc được tuân thủ xuyên suốt:</w:t>
      </w:r>
    </w:p>
    <w:p>
      <w:pPr>
        <w:pStyle w:val="ListParagraph"/>
        <w:numPr>
          <w:ilvl w:val="0"/>
          <w:numId w:val="2"/>
        </w:numPr>
        <w:spacing w:after="80" w:line="276"/>
      </w:pPr>
      <w:r>
        <w:rPr>
          <w:rFonts w:ascii="Calibri" w:cs="Calibri" w:eastAsia="Calibri" w:hAnsi="Calibri"/>
          <w:color w:val="0B0B0B"/>
          <w:sz w:val="22"/>
          <w:szCs w:val="22"/>
        </w:rPr>
        <w:t xml:space="preserve">Không sửa trực tiếp hai file dữ liệu gốc metadata.csv và content.csv.</w:t>
      </w:r>
    </w:p>
    <w:p>
      <w:pPr>
        <w:pStyle w:val="ListParagraph"/>
        <w:numPr>
          <w:ilvl w:val="0"/>
          <w:numId w:val="2"/>
        </w:numPr>
        <w:spacing w:after="80" w:line="276"/>
      </w:pPr>
      <w:r>
        <w:rPr>
          <w:rFonts w:ascii="Calibri" w:cs="Calibri" w:eastAsia="Calibri" w:hAnsi="Calibri"/>
          <w:color w:val="0B0B0B"/>
          <w:sz w:val="22"/>
          <w:szCs w:val="22"/>
        </w:rPr>
        <w:t xml:space="preserve">Không đưa output chưa kiểm tra của LLM thẳng vào Neo4j.</w:t>
      </w:r>
    </w:p>
    <w:p>
      <w:pPr>
        <w:pStyle w:val="ListParagraph"/>
        <w:numPr>
          <w:ilvl w:val="0"/>
          <w:numId w:val="2"/>
        </w:numPr>
        <w:spacing w:after="80" w:line="276"/>
      </w:pPr>
      <w:r>
        <w:rPr>
          <w:rFonts w:ascii="Calibri" w:cs="Calibri" w:eastAsia="Calibri" w:hAnsi="Calibri"/>
          <w:color w:val="0B0B0B"/>
          <w:sz w:val="22"/>
          <w:szCs w:val="22"/>
        </w:rPr>
        <w:t xml:space="preserve">Mỗi bước phải chạy thành công và kiểm tra output trước khi sang bước tiếp theo.</w:t>
      </w:r>
    </w:p>
    <w:p>
      <w:pPr>
        <w:pStyle w:val="ListParagraph"/>
        <w:numPr>
          <w:ilvl w:val="0"/>
          <w:numId w:val="2"/>
        </w:numPr>
        <w:spacing w:after="80" w:line="276"/>
      </w:pPr>
      <w:r>
        <w:rPr>
          <w:rFonts w:ascii="Calibri" w:cs="Calibri" w:eastAsia="Calibri" w:hAnsi="Calibri"/>
          <w:color w:val="0B0B0B"/>
          <w:sz w:val="22"/>
          <w:szCs w:val="22"/>
        </w:rPr>
        <w:t xml:space="preserve">Mọi thực thể và quan hệ do trích xuất tạo ra đều phải truy vết được về evidence trong văn bản gốc.</w:t>
      </w:r>
    </w:p>
    <w:p>
      <w:pPr>
        <w:pStyle w:val="Heading1"/>
        <w:spacing w:after="140" w:before="280"/>
      </w:pPr>
      <w:r>
        <w:rPr>
          <w:rFonts w:ascii="Calibri" w:cs="Calibri" w:eastAsia="Calibri" w:hAnsi="Calibri"/>
          <w:b/>
          <w:bCs/>
          <w:color w:val="0B0B0B"/>
          <w:sz w:val="30"/>
          <w:szCs w:val="30"/>
        </w:rPr>
        <w:t xml:space="preserve">2. Tổng quan kết quả</w:t>
      </w:r>
    </w:p>
    <w:p>
      <w:pPr>
        <w:spacing w:after="60" w:before="160"/>
        <w:jc w:val="center"/>
      </w:pPr>
      <w:r>
        <w:drawing>
          <wp:inline distT="0" distB="0" distL="0" distR="0">
            <wp:extent cx="5905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57400"/>
                    </a:xfrm>
                    <a:prstGeom prst="rect">
                      <a:avLst/>
                    </a:prstGeom>
                  </pic:spPr>
                </pic:pic>
              </a:graphicData>
            </a:graphic>
          </wp:inline>
        </w:drawing>
      </w:r>
    </w:p>
    <w:p>
      <w:pPr>
        <w:spacing w:after="220"/>
        <w:jc w:val="center"/>
      </w:pPr>
      <w:r>
        <w:rPr>
          <w:rFonts w:ascii="Calibri" w:cs="Calibri" w:eastAsia="Calibri" w:hAnsi="Calibri"/>
          <w:i/>
          <w:iCs/>
          <w:color w:val="6B6A66"/>
          <w:sz w:val="19"/>
          <w:szCs w:val="19"/>
        </w:rPr>
        <w:t xml:space="preserve">Hình 1. Thành phần Knowledge Graph sau khi import vào Neo4j</w:t>
      </w:r>
    </w:p>
    <w:p>
      <w:pPr>
        <w:spacing w:after="120" w:line="276"/>
      </w:pPr>
      <w:r>
        <w:rPr>
          <w:rFonts w:ascii="Calibri" w:cs="Calibri" w:eastAsia="Calibri" w:hAnsi="Calibri"/>
          <w:color w:val="0B0B0B"/>
          <w:sz w:val="22"/>
          <w:szCs w:val="22"/>
        </w:rPr>
        <w:t xml:space="preserve">Số liệu trong Neo4j trùng khớp tuyệt đối với số liệu trong các file CSV trung gian — 159 node và 226 quan hệ, không thiếu và không phát sinh thừa.</w:t>
      </w:r>
    </w:p>
    <w:tbl>
      <w:tblPr>
        <w:tblW w:type="dxa" w:w="8800"/>
        <w:tblBorders>
          <w:top w:val="single" w:color="D8D7D2" w:sz="4"/>
          <w:left w:val="none"/>
          <w:bottom w:val="single" w:color="D8D7D2" w:sz="4"/>
          <w:right w:val="none"/>
          <w:insideH w:val="single" w:color="E7E6E1" w:sz="2"/>
          <w:insideV w:val="none"/>
        </w:tblBorders>
      </w:tblPr>
      <w:tblGrid>
        <w:gridCol w:w="700"/>
        <w:gridCol w:w="3500"/>
        <w:gridCol w:w="3400"/>
        <w:gridCol w:w="1200"/>
      </w:tblGrid>
      <w:tr>
        <w:trPr>
          <w:tblHeader/>
        </w:trPr>
        <w:tc>
          <w:tcPr>
            <w:tcW w:type="dxa" w:w="700"/>
            <w:shd w:fill="EDF3FB" w:color="auto" w:val="clear"/>
            <w:tcMar>
              <w:top w:type="dxa" w:w="60"/>
              <w:left w:type="dxa" w:w="110"/>
              <w:bottom w:type="dxa" w:w="60"/>
              <w:right w:type="dxa" w:w="110"/>
            </w:tcMar>
          </w:tcPr>
          <w:p>
            <w:pPr>
              <w:spacing w:after="0" w:line="240"/>
            </w:pPr>
            <w:r>
              <w:rPr>
                <w:rFonts w:ascii="Calibri" w:cs="Calibri" w:eastAsia="Calibri" w:hAnsi="Calibri"/>
                <w:b/>
                <w:bCs/>
                <w:color w:val="0B0B0B"/>
                <w:sz w:val="20"/>
                <w:szCs w:val="20"/>
              </w:rPr>
              <w:t xml:space="preserve">Bước</w:t>
            </w:r>
          </w:p>
        </w:tc>
        <w:tc>
          <w:tcPr>
            <w:tcW w:type="dxa" w:w="3500"/>
            <w:shd w:fill="EDF3FB" w:color="auto" w:val="clear"/>
            <w:tcMar>
              <w:top w:type="dxa" w:w="60"/>
              <w:left w:type="dxa" w:w="110"/>
              <w:bottom w:type="dxa" w:w="60"/>
              <w:right w:type="dxa" w:w="110"/>
            </w:tcMar>
          </w:tcPr>
          <w:p>
            <w:pPr>
              <w:spacing w:after="0" w:line="240"/>
              <w:jc w:val="right"/>
            </w:pPr>
            <w:r>
              <w:rPr>
                <w:rFonts w:ascii="Calibri" w:cs="Calibri" w:eastAsia="Calibri" w:hAnsi="Calibri"/>
                <w:b/>
                <w:bCs/>
                <w:color w:val="0B0B0B"/>
                <w:sz w:val="20"/>
                <w:szCs w:val="20"/>
              </w:rPr>
              <w:t xml:space="preserve">Nội dung</w:t>
            </w:r>
          </w:p>
        </w:tc>
        <w:tc>
          <w:tcPr>
            <w:tcW w:type="dxa" w:w="3400"/>
            <w:shd w:fill="EDF3FB" w:color="auto" w:val="clear"/>
            <w:tcMar>
              <w:top w:type="dxa" w:w="60"/>
              <w:left w:type="dxa" w:w="110"/>
              <w:bottom w:type="dxa" w:w="60"/>
              <w:right w:type="dxa" w:w="110"/>
            </w:tcMar>
          </w:tcPr>
          <w:p>
            <w:pPr>
              <w:spacing w:after="0" w:line="240"/>
              <w:jc w:val="right"/>
            </w:pPr>
            <w:r>
              <w:rPr>
                <w:rFonts w:ascii="Calibri" w:cs="Calibri" w:eastAsia="Calibri" w:hAnsi="Calibri"/>
                <w:b/>
                <w:bCs/>
                <w:color w:val="0B0B0B"/>
                <w:sz w:val="20"/>
                <w:szCs w:val="20"/>
              </w:rPr>
              <w:t xml:space="preserve">Output</w:t>
            </w:r>
          </w:p>
        </w:tc>
        <w:tc>
          <w:tcPr>
            <w:tcW w:type="dxa" w:w="1200"/>
            <w:shd w:fill="EDF3FB" w:color="auto" w:val="clear"/>
            <w:tcMar>
              <w:top w:type="dxa" w:w="60"/>
              <w:left w:type="dxa" w:w="110"/>
              <w:bottom w:type="dxa" w:w="60"/>
              <w:right w:type="dxa" w:w="110"/>
            </w:tcMar>
          </w:tcPr>
          <w:p>
            <w:pPr>
              <w:spacing w:after="0" w:line="240"/>
              <w:jc w:val="right"/>
            </w:pPr>
            <w:r>
              <w:rPr>
                <w:rFonts w:ascii="Calibri" w:cs="Calibri" w:eastAsia="Calibri" w:hAnsi="Calibri"/>
                <w:b/>
                <w:bCs/>
                <w:color w:val="0B0B0B"/>
                <w:sz w:val="20"/>
                <w:szCs w:val="20"/>
              </w:rPr>
              <w:t xml:space="preserve">Kết quả</w:t>
            </w:r>
          </w:p>
        </w:tc>
      </w:tr>
      <w:tr>
        <w:tc>
          <w:tcPr>
            <w:tcW w:type="dxa" w:w="7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0</w:t>
            </w:r>
          </w:p>
        </w:tc>
        <w:tc>
          <w:tcPr>
            <w:tcW w:type="dxa" w:w="35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Kiểm tra môi trường</w:t>
            </w:r>
          </w:p>
        </w:tc>
        <w:tc>
          <w:tcPr>
            <w:tcW w:type="dxa" w:w="34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w:t>
            </w:r>
          </w:p>
        </w:tc>
        <w:tc>
          <w:tcPr>
            <w:tcW w:type="dxa" w:w="12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PASS</w:t>
            </w:r>
          </w:p>
        </w:tc>
      </w:tr>
      <w:tr>
        <w:tc>
          <w:tcPr>
            <w:tcW w:type="dxa" w:w="7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1</w:t>
            </w:r>
          </w:p>
        </w:tc>
        <w:tc>
          <w:tcPr>
            <w:tcW w:type="dxa" w:w="35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Kiểm tra dữ liệu + làm sạch HTML</w:t>
            </w:r>
          </w:p>
        </w:tc>
        <w:tc>
          <w:tcPr>
            <w:tcW w:type="dxa" w:w="34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cleaned_documents.csv</w:t>
            </w:r>
          </w:p>
        </w:tc>
        <w:tc>
          <w:tcPr>
            <w:tcW w:type="dxa" w:w="12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PASS</w:t>
            </w:r>
          </w:p>
        </w:tc>
      </w:tr>
      <w:tr>
        <w:tc>
          <w:tcPr>
            <w:tcW w:type="dxa" w:w="7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2</w:t>
            </w:r>
          </w:p>
        </w:tc>
        <w:tc>
          <w:tcPr>
            <w:tcW w:type="dxa" w:w="35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Rule-based candidate extraction</w:t>
            </w:r>
          </w:p>
        </w:tc>
        <w:tc>
          <w:tcPr>
            <w:tcW w:type="dxa" w:w="34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relation_candidates.csv</w:t>
            </w:r>
          </w:p>
        </w:tc>
        <w:tc>
          <w:tcPr>
            <w:tcW w:type="dxa" w:w="12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PASS</w:t>
            </w:r>
          </w:p>
        </w:tc>
      </w:tr>
      <w:tr>
        <w:tc>
          <w:tcPr>
            <w:tcW w:type="dxa" w:w="7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3</w:t>
            </w:r>
          </w:p>
        </w:tc>
        <w:tc>
          <w:tcPr>
            <w:tcW w:type="dxa" w:w="35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Trích xuất entity + làm giàu metadata</w:t>
            </w:r>
          </w:p>
        </w:tc>
        <w:tc>
          <w:tcPr>
            <w:tcW w:type="dxa" w:w="34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extracted_entities_raw.csv, enriched_metadata.csv</w:t>
            </w:r>
          </w:p>
        </w:tc>
        <w:tc>
          <w:tcPr>
            <w:tcW w:type="dxa" w:w="12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PASS *</w:t>
            </w:r>
          </w:p>
        </w:tc>
      </w:tr>
      <w:tr>
        <w:tc>
          <w:tcPr>
            <w:tcW w:type="dxa" w:w="7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4</w:t>
            </w:r>
          </w:p>
        </w:tc>
        <w:tc>
          <w:tcPr>
            <w:tcW w:type="dxa" w:w="35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Chuẩn hóa entity</w:t>
            </w:r>
          </w:p>
        </w:tc>
        <w:tc>
          <w:tcPr>
            <w:tcW w:type="dxa" w:w="34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entities.csv</w:t>
            </w:r>
          </w:p>
        </w:tc>
        <w:tc>
          <w:tcPr>
            <w:tcW w:type="dxa" w:w="12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PASS</w:t>
            </w:r>
          </w:p>
        </w:tc>
      </w:tr>
      <w:tr>
        <w:tc>
          <w:tcPr>
            <w:tcW w:type="dxa" w:w="7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5</w:t>
            </w:r>
          </w:p>
        </w:tc>
        <w:tc>
          <w:tcPr>
            <w:tcW w:type="dxa" w:w="35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Trích xuất quan hệ</w:t>
            </w:r>
          </w:p>
        </w:tc>
        <w:tc>
          <w:tcPr>
            <w:tcW w:type="dxa" w:w="34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relationships_raw.csv</w:t>
            </w:r>
          </w:p>
        </w:tc>
        <w:tc>
          <w:tcPr>
            <w:tcW w:type="dxa" w:w="12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PASS</w:t>
            </w:r>
          </w:p>
        </w:tc>
      </w:tr>
      <w:tr>
        <w:tc>
          <w:tcPr>
            <w:tcW w:type="dxa" w:w="7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6</w:t>
            </w:r>
          </w:p>
        </w:tc>
        <w:tc>
          <w:tcPr>
            <w:tcW w:type="dxa" w:w="35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Kiểm định quan hệ</w:t>
            </w:r>
          </w:p>
        </w:tc>
        <w:tc>
          <w:tcPr>
            <w:tcW w:type="dxa" w:w="34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relationships.csv, validation_report.csv</w:t>
            </w:r>
          </w:p>
        </w:tc>
        <w:tc>
          <w:tcPr>
            <w:tcW w:type="dxa" w:w="12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PASS</w:t>
            </w:r>
          </w:p>
        </w:tc>
      </w:tr>
      <w:tr>
        <w:tc>
          <w:tcPr>
            <w:tcW w:type="dxa" w:w="7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7</w:t>
            </w:r>
          </w:p>
        </w:tc>
        <w:tc>
          <w:tcPr>
            <w:tcW w:type="dxa" w:w="35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Kiểm tra kết nối Neo4j</w:t>
            </w:r>
          </w:p>
        </w:tc>
        <w:tc>
          <w:tcPr>
            <w:tcW w:type="dxa" w:w="34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w:t>
            </w:r>
          </w:p>
        </w:tc>
        <w:tc>
          <w:tcPr>
            <w:tcW w:type="dxa" w:w="12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PASS</w:t>
            </w:r>
          </w:p>
        </w:tc>
      </w:tr>
      <w:tr>
        <w:tc>
          <w:tcPr>
            <w:tcW w:type="dxa" w:w="7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8</w:t>
            </w:r>
          </w:p>
        </w:tc>
        <w:tc>
          <w:tcPr>
            <w:tcW w:type="dxa" w:w="35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Import Knowledge Graph</w:t>
            </w:r>
          </w:p>
        </w:tc>
        <w:tc>
          <w:tcPr>
            <w:tcW w:type="dxa" w:w="34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Neo4j database</w:t>
            </w:r>
          </w:p>
        </w:tc>
        <w:tc>
          <w:tcPr>
            <w:tcW w:type="dxa" w:w="12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PASS</w:t>
            </w:r>
          </w:p>
        </w:tc>
      </w:tr>
      <w:tr>
        <w:tc>
          <w:tcPr>
            <w:tcW w:type="dxa" w:w="7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9</w:t>
            </w:r>
          </w:p>
        </w:tc>
        <w:tc>
          <w:tcPr>
            <w:tcW w:type="dxa" w:w="35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Truy vấn kiểm tra và trực quan hóa</w:t>
            </w:r>
          </w:p>
        </w:tc>
        <w:tc>
          <w:tcPr>
            <w:tcW w:type="dxa" w:w="34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Cypher queries</w:t>
            </w:r>
          </w:p>
        </w:tc>
        <w:tc>
          <w:tcPr>
            <w:tcW w:type="dxa" w:w="12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PASS</w:t>
            </w:r>
          </w:p>
        </w:tc>
      </w:tr>
    </w:tbl>
    <w:p>
      <w:pPr>
        <w:spacing w:after="200" w:line="260"/>
      </w:pPr>
      <w:r>
        <w:rPr>
          <w:rFonts w:ascii="Calibri" w:cs="Calibri" w:eastAsia="Calibri" w:hAnsi="Calibri"/>
          <w:i/>
          <w:iCs/>
          <w:color w:val="6B6A66"/>
          <w:sz w:val="19"/>
          <w:szCs w:val="19"/>
        </w:rPr>
        <w:t xml:space="preserve">* Bước 3 hoàn thành về mặt kết quả nhưng không gọi được Gemini API — xem mục 5.</w:t>
      </w:r>
    </w:p>
    <w:p>
      <w:r>
        <w:br w:type="page"/>
      </w:r>
    </w:p>
    <w:p>
      <w:pPr>
        <w:pStyle w:val="Heading1"/>
        <w:spacing w:after="140" w:before="280"/>
      </w:pPr>
      <w:r>
        <w:rPr>
          <w:rFonts w:ascii="Calibri" w:cs="Calibri" w:eastAsia="Calibri" w:hAnsi="Calibri"/>
          <w:b/>
          <w:bCs/>
          <w:color w:val="0B0B0B"/>
          <w:sz w:val="30"/>
          <w:szCs w:val="30"/>
        </w:rPr>
        <w:t xml:space="preserve">3. Chi tiết thực hiện từng bước</w:t>
      </w:r>
    </w:p>
    <w:p>
      <w:pPr>
        <w:pStyle w:val="Heading2"/>
        <w:spacing w:after="140" w:before="280"/>
      </w:pPr>
      <w:r>
        <w:rPr>
          <w:rFonts w:ascii="Calibri" w:cs="Calibri" w:eastAsia="Calibri" w:hAnsi="Calibri"/>
          <w:b/>
          <w:bCs/>
          <w:color w:val="0B0B0B"/>
          <w:sz w:val="25"/>
          <w:szCs w:val="25"/>
        </w:rPr>
        <w:t xml:space="preserve">Bước 0 – Kiểm tra môi trường</w:t>
      </w:r>
    </w:p>
    <w:p>
      <w:pPr>
        <w:spacing w:after="120" w:line="276"/>
      </w:pPr>
      <w:r>
        <w:rPr>
          <w:rFonts w:ascii="Calibri" w:cs="Calibri" w:eastAsia="Calibri" w:hAnsi="Calibri"/>
          <w:color w:val="0B0B0B"/>
          <w:sz w:val="22"/>
          <w:szCs w:val="22"/>
        </w:rPr>
        <w:t xml:space="preserve">Kiểm tra Python 3.11, virtual environment riêng, hai file dữ liệu đầu vào, năm package bắt buộc (pandas, beautifulsoup4, python-dotenv, google-genai, neo4j), cấu hình .env và kết nối Neo4j. Khóa bí mật được đặt trong .env, không hard-code trong mã nguồn và không in ra terminal; kèm theo .env.example và .gitignore để tránh lộ khóa khi đưa lên Git.</w:t>
      </w:r>
    </w:p>
    <w:p>
      <w:pPr>
        <w:pStyle w:val="Heading2"/>
        <w:spacing w:after="140" w:before="280"/>
      </w:pPr>
      <w:r>
        <w:rPr>
          <w:rFonts w:ascii="Calibri" w:cs="Calibri" w:eastAsia="Calibri" w:hAnsi="Calibri"/>
          <w:b/>
          <w:bCs/>
          <w:color w:val="0B0B0B"/>
          <w:sz w:val="25"/>
          <w:szCs w:val="25"/>
        </w:rPr>
        <w:t xml:space="preserve">Bước 1 – Kiểm tra dữ liệu và làm sạch HTML</w:t>
      </w:r>
    </w:p>
    <w:p>
      <w:pPr>
        <w:spacing w:after="120" w:line="276"/>
      </w:pPr>
      <w:r>
        <w:rPr>
          <w:rFonts w:ascii="Calibri" w:cs="Calibri" w:eastAsia="Calibri" w:hAnsi="Calibri"/>
          <w:color w:val="0B0B0B"/>
          <w:sz w:val="22"/>
          <w:szCs w:val="22"/>
        </w:rPr>
        <w:t xml:space="preserve">Hai file được đọc bằng pandas, đối chiếu và ghép theo trường id, sau đó nội dung HTML được làm sạch bằng BeautifulSoup thành cột content_clean. Quá trình chỉ loại bỏ thẻ HTML và chuẩn hóa khoảng trắng, không viết lại nội dung.</w:t>
      </w:r>
    </w:p>
    <w:tbl>
      <w:tblPr>
        <w:tblW w:type="dxa" w:w="7800"/>
        <w:tblBorders>
          <w:top w:val="single" w:color="D8D7D2" w:sz="4"/>
          <w:left w:val="none"/>
          <w:bottom w:val="single" w:color="D8D7D2" w:sz="4"/>
          <w:right w:val="none"/>
          <w:insideH w:val="single" w:color="E7E6E1" w:sz="2"/>
          <w:insideV w:val="none"/>
        </w:tblBorders>
      </w:tblPr>
      <w:tblGrid>
        <w:gridCol w:w="6100"/>
        <w:gridCol w:w="1700"/>
      </w:tblGrid>
      <w:tr>
        <w:trPr>
          <w:tblHeader/>
        </w:trPr>
        <w:tc>
          <w:tcPr>
            <w:tcW w:type="dxa" w:w="6100"/>
            <w:shd w:fill="EDF3FB" w:color="auto" w:val="clear"/>
            <w:tcMar>
              <w:top w:type="dxa" w:w="60"/>
              <w:left w:type="dxa" w:w="110"/>
              <w:bottom w:type="dxa" w:w="60"/>
              <w:right w:type="dxa" w:w="110"/>
            </w:tcMar>
          </w:tcPr>
          <w:p>
            <w:pPr>
              <w:spacing w:after="0" w:line="240"/>
            </w:pPr>
            <w:r>
              <w:rPr>
                <w:rFonts w:ascii="Calibri" w:cs="Calibri" w:eastAsia="Calibri" w:hAnsi="Calibri"/>
                <w:b/>
                <w:bCs/>
                <w:color w:val="0B0B0B"/>
                <w:sz w:val="20"/>
                <w:szCs w:val="20"/>
              </w:rPr>
              <w:t xml:space="preserve">Hạng mục kiểm tra</w:t>
            </w:r>
          </w:p>
        </w:tc>
        <w:tc>
          <w:tcPr>
            <w:tcW w:type="dxa" w:w="1700"/>
            <w:shd w:fill="EDF3FB" w:color="auto" w:val="clear"/>
            <w:tcMar>
              <w:top w:type="dxa" w:w="60"/>
              <w:left w:type="dxa" w:w="110"/>
              <w:bottom w:type="dxa" w:w="60"/>
              <w:right w:type="dxa" w:w="110"/>
            </w:tcMar>
          </w:tcPr>
          <w:p>
            <w:pPr>
              <w:spacing w:after="0" w:line="240"/>
              <w:jc w:val="right"/>
            </w:pPr>
            <w:r>
              <w:rPr>
                <w:rFonts w:ascii="Calibri" w:cs="Calibri" w:eastAsia="Calibri" w:hAnsi="Calibri"/>
                <w:b/>
                <w:bCs/>
                <w:color w:val="0B0B0B"/>
                <w:sz w:val="20"/>
                <w:szCs w:val="20"/>
              </w:rPr>
              <w:t xml:space="preserve">Kết quả</w:t>
            </w:r>
          </w:p>
        </w:tc>
      </w:tr>
      <w:tr>
        <w:tc>
          <w:tcPr>
            <w:tcW w:type="dxa" w:w="61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Số văn bản sau khi ghép theo id</w:t>
            </w:r>
          </w:p>
        </w:tc>
        <w:tc>
          <w:tcPr>
            <w:tcW w:type="dxa" w:w="17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30 / 30</w:t>
            </w:r>
          </w:p>
        </w:tc>
      </w:tr>
      <w:tr>
        <w:tc>
          <w:tcPr>
            <w:tcW w:type="dxa" w:w="61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id trùng lặp</w:t>
            </w:r>
          </w:p>
        </w:tc>
        <w:tc>
          <w:tcPr>
            <w:tcW w:type="dxa" w:w="17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0</w:t>
            </w:r>
          </w:p>
        </w:tc>
      </w:tr>
      <w:tr>
        <w:tc>
          <w:tcPr>
            <w:tcW w:type="dxa" w:w="61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id lệch giữa hai file</w:t>
            </w:r>
          </w:p>
        </w:tc>
        <w:tc>
          <w:tcPr>
            <w:tcW w:type="dxa" w:w="17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0</w:t>
            </w:r>
          </w:p>
        </w:tc>
      </w:tr>
      <w:tr>
        <w:tc>
          <w:tcPr>
            <w:tcW w:type="dxa" w:w="61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content_clean rỗng bất thường</w:t>
            </w:r>
          </w:p>
        </w:tc>
        <w:tc>
          <w:tcPr>
            <w:tcW w:type="dxa" w:w="17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0</w:t>
            </w:r>
          </w:p>
        </w:tc>
      </w:tr>
      <w:tr>
        <w:tc>
          <w:tcPr>
            <w:tcW w:type="dxa" w:w="61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Cụm pháp lý quan trọng còn nguyên (Căn cứ, Sửa đổi bổ sung, bãi bỏ, thay thế)</w:t>
            </w:r>
          </w:p>
        </w:tc>
        <w:tc>
          <w:tcPr>
            <w:tcW w:type="dxa" w:w="17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Giữ nguyên</w:t>
            </w:r>
          </w:p>
        </w:tc>
      </w:tr>
      <w:tr>
        <w:tc>
          <w:tcPr>
            <w:tcW w:type="dxa" w:w="61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metadata.csv / content.csv bị thay đổi</w:t>
            </w:r>
          </w:p>
        </w:tc>
        <w:tc>
          <w:tcPr>
            <w:tcW w:type="dxa" w:w="17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Không (đối chiếu MD5)</w:t>
            </w:r>
          </w:p>
        </w:tc>
      </w:tr>
    </w:tbl>
    <w:p>
      <w:pPr>
        <w:spacing w:after="120" w:line="276"/>
      </w:pPr>
      <w:r>
        <w:rPr>
          <w:rFonts w:ascii="Calibri" w:cs="Calibri" w:eastAsia="Calibri" w:hAnsi="Calibri"/>
          <w:b/>
          <w:bCs/>
          <w:color w:val="0B0B0B"/>
          <w:sz w:val="22"/>
          <w:szCs w:val="22"/>
        </w:rPr>
        <w:t xml:space="preserve">Thống kê thiếu dữ liệu trong metadata gốc — chính là những giá trị cần được làm giàu ở Bước 3:</w:t>
      </w:r>
    </w:p>
    <w:p>
      <w:pPr>
        <w:pStyle w:val="ListParagraph"/>
        <w:numPr>
          <w:ilvl w:val="0"/>
          <w:numId w:val="2"/>
        </w:numPr>
        <w:spacing w:after="80" w:line="276"/>
      </w:pPr>
      <w:r>
        <w:rPr>
          <w:rFonts w:ascii="Calibri" w:cs="Calibri" w:eastAsia="Calibri" w:hAnsi="Calibri"/>
          <w:color w:val="0B0B0B"/>
          <w:sz w:val="22"/>
          <w:szCs w:val="22"/>
        </w:rPr>
        <w:t xml:space="preserve">thong_tin_ap_dung: thiếu 30/30 (cột rỗng hoàn toàn).</w:t>
      </w:r>
    </w:p>
    <w:p>
      <w:pPr>
        <w:pStyle w:val="ListParagraph"/>
        <w:numPr>
          <w:ilvl w:val="0"/>
          <w:numId w:val="2"/>
        </w:numPr>
        <w:spacing w:after="80" w:line="276"/>
      </w:pPr>
      <w:r>
        <w:rPr>
          <w:rFonts w:ascii="Calibri" w:cs="Calibri" w:eastAsia="Calibri" w:hAnsi="Calibri"/>
          <w:color w:val="0B0B0B"/>
          <w:sz w:val="22"/>
          <w:szCs w:val="22"/>
        </w:rPr>
        <w:t xml:space="preserve">ngay_het_hieu_luc: thiếu 28/30; ngay_dang_cong_bao: thiếu 22/30.</w:t>
      </w:r>
    </w:p>
    <w:p>
      <w:pPr>
        <w:pStyle w:val="ListParagraph"/>
        <w:numPr>
          <w:ilvl w:val="0"/>
          <w:numId w:val="2"/>
        </w:numPr>
        <w:spacing w:after="80" w:line="276"/>
      </w:pPr>
      <w:r>
        <w:rPr>
          <w:rFonts w:ascii="Calibri" w:cs="Calibri" w:eastAsia="Calibri" w:hAnsi="Calibri"/>
          <w:color w:val="0B0B0B"/>
          <w:sz w:val="22"/>
          <w:szCs w:val="22"/>
        </w:rPr>
        <w:t xml:space="preserve">linh_vuc: 3 giá trị rỗng và 8 giá trị "Chưa phân loại".</w:t>
      </w:r>
    </w:p>
    <w:p>
      <w:pPr>
        <w:pStyle w:val="ListParagraph"/>
        <w:numPr>
          <w:ilvl w:val="0"/>
          <w:numId w:val="2"/>
        </w:numPr>
        <w:spacing w:after="80" w:line="276"/>
      </w:pPr>
      <w:r>
        <w:rPr>
          <w:rFonts w:ascii="Calibri" w:cs="Calibri" w:eastAsia="Calibri" w:hAnsi="Calibri"/>
          <w:color w:val="0B0B0B"/>
          <w:sz w:val="22"/>
          <w:szCs w:val="22"/>
        </w:rPr>
        <w:t xml:space="preserve">nganh: 5 giá trị rỗng và 1 giá trị "Chưa phân loại".</w:t>
      </w:r>
    </w:p>
    <w:p>
      <w:pPr>
        <w:spacing w:after="120" w:line="276"/>
      </w:pPr>
      <w:r>
        <w:rPr>
          <w:rFonts w:ascii="Calibri" w:cs="Calibri" w:eastAsia="Calibri" w:hAnsi="Calibri"/>
          <w:color w:val="0B0B0B"/>
          <w:sz w:val="22"/>
          <w:szCs w:val="22"/>
        </w:rPr>
        <w:t xml:space="preserve">Ghi nhận trong quá trình kiểm tra: có 4/30 văn bản mà số hiệu trong metadata không xuất hiện y hệt trong nội dung. Truy vết từng trường hợp cho thấy đây là đặc điểm sẵn có của dữ liệu gốc (ví dụ văn bản ghi "27 /2024/TT-NHNN" có khoảng trắng thừa, hoặc "8/2021/TT-BTC" không có số 0 đứng đầu; riêng 52/VBHN-NHNN và 46/2010/QH12 vốn không nhắc lại số hiệu trong phần thân), không phải do quá trình làm sạch làm mất dữ liệu. Phát hiện này được dùng để thiết kế cách so khớp số hiệu ở Bước 2.</w:t>
      </w:r>
    </w:p>
    <w:p>
      <w:pPr>
        <w:pStyle w:val="Heading2"/>
        <w:spacing w:after="140" w:before="280"/>
      </w:pPr>
      <w:r>
        <w:rPr>
          <w:rFonts w:ascii="Calibri" w:cs="Calibri" w:eastAsia="Calibri" w:hAnsi="Calibri"/>
          <w:b/>
          <w:bCs/>
          <w:color w:val="0B0B0B"/>
          <w:sz w:val="25"/>
          <w:szCs w:val="25"/>
        </w:rPr>
        <w:t xml:space="preserve">Bước 2 – Rule-based candidate extraction</w:t>
      </w:r>
    </w:p>
    <w:p>
      <w:pPr>
        <w:spacing w:after="120" w:line="276"/>
      </w:pPr>
      <w:r>
        <w:rPr>
          <w:rFonts w:ascii="Calibri" w:cs="Calibri" w:eastAsia="Calibri" w:hAnsi="Calibri"/>
          <w:color w:val="0B0B0B"/>
          <w:sz w:val="22"/>
          <w:szCs w:val="22"/>
        </w:rPr>
        <w:t xml:space="preserve">Bước này không dùng LLM. Hệ thống dò các số hiệu văn bản được nhắc tới trong content_clean, ưu tiên những vị trí nằm gần bốn từ khóa dấu hiệu, và lưu lại kèm đoạn văn bản làm bằng chứng.</w:t>
      </w:r>
    </w:p>
    <w:tbl>
      <w:tblPr>
        <w:tblW w:type="dxa" w:w="7800"/>
        <w:tblBorders>
          <w:top w:val="single" w:color="D8D7D2" w:sz="4"/>
          <w:left w:val="none"/>
          <w:bottom w:val="single" w:color="D8D7D2" w:sz="4"/>
          <w:right w:val="none"/>
          <w:insideH w:val="single" w:color="E7E6E1" w:sz="2"/>
          <w:insideV w:val="none"/>
        </w:tblBorders>
      </w:tblPr>
      <w:tblGrid>
        <w:gridCol w:w="5200"/>
        <w:gridCol w:w="2600"/>
      </w:tblGrid>
      <w:tr>
        <w:trPr>
          <w:tblHeader/>
        </w:trPr>
        <w:tc>
          <w:tcPr>
            <w:tcW w:type="dxa" w:w="5200"/>
            <w:shd w:fill="EDF3FB" w:color="auto" w:val="clear"/>
            <w:tcMar>
              <w:top w:type="dxa" w:w="60"/>
              <w:left w:type="dxa" w:w="110"/>
              <w:bottom w:type="dxa" w:w="60"/>
              <w:right w:type="dxa" w:w="110"/>
            </w:tcMar>
          </w:tcPr>
          <w:p>
            <w:pPr>
              <w:spacing w:after="0" w:line="240"/>
            </w:pPr>
            <w:r>
              <w:rPr>
                <w:rFonts w:ascii="Calibri" w:cs="Calibri" w:eastAsia="Calibri" w:hAnsi="Calibri"/>
                <w:b/>
                <w:bCs/>
                <w:color w:val="0B0B0B"/>
                <w:sz w:val="20"/>
                <w:szCs w:val="20"/>
              </w:rPr>
              <w:t xml:space="preserve">Từ khóa dấu hiệu</w:t>
            </w:r>
          </w:p>
        </w:tc>
        <w:tc>
          <w:tcPr>
            <w:tcW w:type="dxa" w:w="2600"/>
            <w:shd w:fill="EDF3FB" w:color="auto" w:val="clear"/>
            <w:tcMar>
              <w:top w:type="dxa" w:w="60"/>
              <w:left w:type="dxa" w:w="110"/>
              <w:bottom w:type="dxa" w:w="60"/>
              <w:right w:type="dxa" w:w="110"/>
            </w:tcMar>
          </w:tcPr>
          <w:p>
            <w:pPr>
              <w:spacing w:after="0" w:line="240"/>
              <w:jc w:val="right"/>
            </w:pPr>
            <w:r>
              <w:rPr>
                <w:rFonts w:ascii="Calibri" w:cs="Calibri" w:eastAsia="Calibri" w:hAnsi="Calibri"/>
                <w:b/>
                <w:bCs/>
                <w:color w:val="0B0B0B"/>
                <w:sz w:val="20"/>
                <w:szCs w:val="20"/>
              </w:rPr>
              <w:t xml:space="preserve">Số candidate</w:t>
            </w:r>
          </w:p>
        </w:tc>
      </w:tr>
      <w:tr>
        <w:tc>
          <w:tcPr>
            <w:tcW w:type="dxa" w:w="52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Căn cứ</w:t>
            </w:r>
          </w:p>
        </w:tc>
        <w:tc>
          <w:tcPr>
            <w:tcW w:type="dxa" w:w="26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60</w:t>
            </w:r>
          </w:p>
        </w:tc>
      </w:tr>
      <w:tr>
        <w:tc>
          <w:tcPr>
            <w:tcW w:type="dxa" w:w="52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Sửa đổi, bổ sung</w:t>
            </w:r>
          </w:p>
        </w:tc>
        <w:tc>
          <w:tcPr>
            <w:tcW w:type="dxa" w:w="26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39</w:t>
            </w:r>
          </w:p>
        </w:tc>
      </w:tr>
      <w:tr>
        <w:tc>
          <w:tcPr>
            <w:tcW w:type="dxa" w:w="52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bãi bỏ</w:t>
            </w:r>
          </w:p>
        </w:tc>
        <w:tc>
          <w:tcPr>
            <w:tcW w:type="dxa" w:w="26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6</w:t>
            </w:r>
          </w:p>
        </w:tc>
      </w:tr>
      <w:tr>
        <w:tc>
          <w:tcPr>
            <w:tcW w:type="dxa" w:w="52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thay thế</w:t>
            </w:r>
          </w:p>
        </w:tc>
        <w:tc>
          <w:tcPr>
            <w:tcW w:type="dxa" w:w="26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5</w:t>
            </w:r>
          </w:p>
        </w:tc>
      </w:tr>
      <w:tr>
        <w:tc>
          <w:tcPr>
            <w:tcW w:type="dxa" w:w="5200"/>
            <w:tcMar>
              <w:top w:type="dxa" w:w="60"/>
              <w:left w:type="dxa" w:w="110"/>
              <w:bottom w:type="dxa" w:w="60"/>
              <w:right w:type="dxa" w:w="110"/>
            </w:tcMar>
          </w:tcPr>
          <w:p>
            <w:pPr>
              <w:spacing w:after="0" w:line="240"/>
            </w:pPr>
            <w:r>
              <w:rPr>
                <w:rFonts w:ascii="Calibri" w:cs="Calibri" w:eastAsia="Calibri" w:hAnsi="Calibri"/>
                <w:b/>
                <w:bCs/>
                <w:color w:val="0B0B0B"/>
                <w:sz w:val="20"/>
                <w:szCs w:val="20"/>
              </w:rPr>
              <w:t xml:space="preserve">Tổng (sau khi loại trùng)</w:t>
            </w:r>
          </w:p>
        </w:tc>
        <w:tc>
          <w:tcPr>
            <w:tcW w:type="dxa" w:w="26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110</w:t>
            </w:r>
          </w:p>
        </w:tc>
      </w:tr>
    </w:tbl>
    <w:p>
      <w:pPr>
        <w:spacing w:after="120" w:line="276"/>
      </w:pPr>
      <w:r>
        <w:rPr>
          <w:rFonts w:ascii="Calibri" w:cs="Calibri" w:eastAsia="Calibri" w:hAnsi="Calibri"/>
          <w:color w:val="0B0B0B"/>
          <w:sz w:val="22"/>
          <w:szCs w:val="22"/>
        </w:rPr>
        <w:t xml:space="preserve">Lỗi phát hiện và đã sửa: cách dò ban đầu chỉ yêu cầu từ khóa và số hiệu nằm cùng một dòng, dẫn tới ghép nhầm ở những đoạn văn dài — ví dụ bắt cặp 47/2010/QH12 với từ khóa "thay thế" trong một đoạn thực chất nói về thay thế nhân sự, không phải thay thế văn bản. Cách xử lý: chỉ tìm số hiệu trong phạm vi khoảng 220 ký tự quanh vị trí từ khóa, đồng thời nhận diện từ khóa không phân biệt chữ hoa chữ thường để không bỏ sót các câu viết thường. Sau khi sửa, 110/110 candidate đều có số hiệu đích thực sự xuất hiện trong đoạn bằng chứng.</w:t>
      </w:r>
    </w:p>
    <w:p>
      <w:pPr>
        <w:pStyle w:val="Heading2"/>
        <w:spacing w:after="140" w:before="280"/>
      </w:pPr>
      <w:r>
        <w:rPr>
          <w:rFonts w:ascii="Calibri" w:cs="Calibri" w:eastAsia="Calibri" w:hAnsi="Calibri"/>
          <w:b/>
          <w:bCs/>
          <w:color w:val="0B0B0B"/>
          <w:sz w:val="25"/>
          <w:szCs w:val="25"/>
        </w:rPr>
        <w:t xml:space="preserve">Bước 3 – Trích xuất thực thể và làm giàu metadata</w:t>
      </w:r>
    </w:p>
    <w:p>
      <w:pPr>
        <w:spacing w:after="120" w:line="276"/>
      </w:pPr>
      <w:r>
        <w:rPr>
          <w:rFonts w:ascii="Calibri" w:cs="Calibri" w:eastAsia="Calibri" w:hAnsi="Calibri"/>
          <w:color w:val="0B0B0B"/>
          <w:sz w:val="22"/>
          <w:szCs w:val="22"/>
        </w:rPr>
        <w:t xml:space="preserve">Bốn loại thực thể được trích xuất: CoQuan (cơ quan ban hành), NguoiKy (người ký), DoiTuongApDung (đối tượng chịu sự điều chỉnh) và LinhVuc (lĩnh vực pháp lý). Nguyên tắc ưu tiên: giá trị trong metadata gốc luôn được giữ nguyên khi đã rõ ràng; LLM chỉ dùng để bổ sung giá trị thiếu, phân loại các mục "Chưa phân loại", trích xuất DoiTuongApDung (metadata gốc không có cột này) và đối chiếu lại các giá trị nghi ngờ.</w:t>
      </w:r>
    </w:p>
    <w:tbl>
      <w:tblPr>
        <w:tblW w:type="dxa" w:w="7800"/>
        <w:tblBorders>
          <w:top w:val="single" w:color="D8D7D2" w:sz="4"/>
          <w:left w:val="none"/>
          <w:bottom w:val="single" w:color="D8D7D2" w:sz="4"/>
          <w:right w:val="none"/>
          <w:insideH w:val="single" w:color="E7E6E1" w:sz="2"/>
          <w:insideV w:val="none"/>
        </w:tblBorders>
      </w:tblPr>
      <w:tblGrid>
        <w:gridCol w:w="5200"/>
        <w:gridCol w:w="2600"/>
      </w:tblGrid>
      <w:tr>
        <w:trPr>
          <w:tblHeader/>
        </w:trPr>
        <w:tc>
          <w:tcPr>
            <w:tcW w:type="dxa" w:w="5200"/>
            <w:shd w:fill="EDF3FB" w:color="auto" w:val="clear"/>
            <w:tcMar>
              <w:top w:type="dxa" w:w="60"/>
              <w:left w:type="dxa" w:w="110"/>
              <w:bottom w:type="dxa" w:w="60"/>
              <w:right w:type="dxa" w:w="110"/>
            </w:tcMar>
          </w:tcPr>
          <w:p>
            <w:pPr>
              <w:spacing w:after="0" w:line="240"/>
            </w:pPr>
            <w:r>
              <w:rPr>
                <w:rFonts w:ascii="Calibri" w:cs="Calibri" w:eastAsia="Calibri" w:hAnsi="Calibri"/>
                <w:b/>
                <w:bCs/>
                <w:color w:val="0B0B0B"/>
                <w:sz w:val="20"/>
                <w:szCs w:val="20"/>
              </w:rPr>
              <w:t xml:space="preserve">Loại thực thể</w:t>
            </w:r>
          </w:p>
        </w:tc>
        <w:tc>
          <w:tcPr>
            <w:tcW w:type="dxa" w:w="2600"/>
            <w:shd w:fill="EDF3FB" w:color="auto" w:val="clear"/>
            <w:tcMar>
              <w:top w:type="dxa" w:w="60"/>
              <w:left w:type="dxa" w:w="110"/>
              <w:bottom w:type="dxa" w:w="60"/>
              <w:right w:type="dxa" w:w="110"/>
            </w:tcMar>
          </w:tcPr>
          <w:p>
            <w:pPr>
              <w:spacing w:after="0" w:line="240"/>
              <w:jc w:val="right"/>
            </w:pPr>
            <w:r>
              <w:rPr>
                <w:rFonts w:ascii="Calibri" w:cs="Calibri" w:eastAsia="Calibri" w:hAnsi="Calibri"/>
                <w:b/>
                <w:bCs/>
                <w:color w:val="0B0B0B"/>
                <w:sz w:val="20"/>
                <w:szCs w:val="20"/>
              </w:rPr>
              <w:t xml:space="preserve">Số lượng</w:t>
            </w:r>
          </w:p>
        </w:tc>
      </w:tr>
      <w:tr>
        <w:tc>
          <w:tcPr>
            <w:tcW w:type="dxa" w:w="52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DoiTuongApDung (mới hoàn toàn)</w:t>
            </w:r>
          </w:p>
        </w:tc>
        <w:tc>
          <w:tcPr>
            <w:tcW w:type="dxa" w:w="26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110</w:t>
            </w:r>
          </w:p>
        </w:tc>
      </w:tr>
      <w:tr>
        <w:tc>
          <w:tcPr>
            <w:tcW w:type="dxa" w:w="52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LinhVuc (bổ sung chỗ thiếu)</w:t>
            </w:r>
          </w:p>
        </w:tc>
        <w:tc>
          <w:tcPr>
            <w:tcW w:type="dxa" w:w="26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11</w:t>
            </w:r>
          </w:p>
        </w:tc>
      </w:tr>
      <w:tr>
        <w:tc>
          <w:tcPr>
            <w:tcW w:type="dxa" w:w="52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NguoiKy (bổ sung chỗ thiếu)</w:t>
            </w:r>
          </w:p>
        </w:tc>
        <w:tc>
          <w:tcPr>
            <w:tcW w:type="dxa" w:w="26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1</w:t>
            </w:r>
          </w:p>
        </w:tc>
      </w:tr>
      <w:tr>
        <w:tc>
          <w:tcPr>
            <w:tcW w:type="dxa" w:w="52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Thực thể lấy trực tiếp từ metadata gốc</w:t>
            </w:r>
          </w:p>
        </w:tc>
        <w:tc>
          <w:tcPr>
            <w:tcW w:type="dxa" w:w="26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78</w:t>
            </w:r>
          </w:p>
        </w:tc>
      </w:tr>
      <w:tr>
        <w:tc>
          <w:tcPr>
            <w:tcW w:type="dxa" w:w="5200"/>
            <w:tcMar>
              <w:top w:type="dxa" w:w="60"/>
              <w:left w:type="dxa" w:w="110"/>
              <w:bottom w:type="dxa" w:w="60"/>
              <w:right w:type="dxa" w:w="110"/>
            </w:tcMar>
          </w:tcPr>
          <w:p>
            <w:pPr>
              <w:spacing w:after="0" w:line="240"/>
            </w:pPr>
            <w:r>
              <w:rPr>
                <w:rFonts w:ascii="Calibri" w:cs="Calibri" w:eastAsia="Calibri" w:hAnsi="Calibri"/>
                <w:b/>
                <w:bCs/>
                <w:color w:val="0B0B0B"/>
                <w:sz w:val="20"/>
                <w:szCs w:val="20"/>
              </w:rPr>
              <w:t xml:space="preserve">Tổng thực thể thô</w:t>
            </w:r>
          </w:p>
        </w:tc>
        <w:tc>
          <w:tcPr>
            <w:tcW w:type="dxa" w:w="26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200</w:t>
            </w:r>
          </w:p>
        </w:tc>
      </w:tr>
    </w:tbl>
    <w:p>
      <w:pPr>
        <w:spacing w:after="120" w:line="276"/>
      </w:pPr>
      <w:r>
        <w:rPr>
          <w:rFonts w:ascii="Calibri" w:cs="Calibri" w:eastAsia="Calibri" w:hAnsi="Calibri"/>
          <w:color w:val="0B0B0B"/>
          <w:sz w:val="22"/>
          <w:szCs w:val="22"/>
        </w:rPr>
        <w:t xml:space="preserve">Cơ chế chống bịa đặt: mỗi thực thể chỉ được giữ lại nếu đoạn evidence đi kèm thực sự là một chuỗi con của văn bản gốc. Toàn bộ 122 thực thể đề xuất đều vượt qua kiểm tra này (0 trường hợp bịa đặt). Điểm tin cậy được gán theo mức độ chắc chắn thật, dao động 0,5 – 1,0 chứ không đặt bằng 1,0 cho tất cả. Ngoài ra hệ thống có xử lý lỗi ở mức từng văn bản: một văn bản lỗi không làm dừng cả lô.</w:t>
      </w:r>
    </w:p>
    <w:p>
      <w:pPr>
        <w:pStyle w:val="Heading2"/>
        <w:spacing w:after="140" w:before="280"/>
      </w:pPr>
      <w:r>
        <w:rPr>
          <w:rFonts w:ascii="Calibri" w:cs="Calibri" w:eastAsia="Calibri" w:hAnsi="Calibri"/>
          <w:b/>
          <w:bCs/>
          <w:color w:val="0B0B0B"/>
          <w:sz w:val="25"/>
          <w:szCs w:val="25"/>
        </w:rPr>
        <w:t xml:space="preserve">Bước 4 – Chuẩn hóa thực thể</w:t>
      </w:r>
    </w:p>
    <w:p>
      <w:pPr>
        <w:spacing w:after="120" w:line="276"/>
      </w:pPr>
      <w:r>
        <w:rPr>
          <w:rFonts w:ascii="Calibri" w:cs="Calibri" w:eastAsia="Calibri" w:hAnsi="Calibri"/>
          <w:color w:val="0B0B0B"/>
          <w:sz w:val="22"/>
          <w:szCs w:val="22"/>
        </w:rPr>
        <w:t xml:space="preserve">Mục tiêu là tránh tình trạng một thực thể xuất hiện dưới nhiều tên khác nhau tạo thành nhiều node riêng biệt trong đồ thị. Các bước xử lý gồm chuẩn hóa Unicode và khoảng trắng, gộp bí danh có kiểm soát, và loại bỏ trùng lặp.</w:t>
      </w:r>
    </w:p>
    <w:tbl>
      <w:tblPr>
        <w:tblW w:type="dxa" w:w="7800"/>
        <w:tblBorders>
          <w:top w:val="single" w:color="D8D7D2" w:sz="4"/>
          <w:left w:val="none"/>
          <w:bottom w:val="single" w:color="D8D7D2" w:sz="4"/>
          <w:right w:val="none"/>
          <w:insideH w:val="single" w:color="E7E6E1" w:sz="2"/>
          <w:insideV w:val="none"/>
        </w:tblBorders>
      </w:tblPr>
      <w:tblGrid>
        <w:gridCol w:w="5200"/>
        <w:gridCol w:w="2600"/>
      </w:tblGrid>
      <w:tr>
        <w:trPr>
          <w:tblHeader/>
        </w:trPr>
        <w:tc>
          <w:tcPr>
            <w:tcW w:type="dxa" w:w="5200"/>
            <w:shd w:fill="EDF3FB" w:color="auto" w:val="clear"/>
            <w:tcMar>
              <w:top w:type="dxa" w:w="60"/>
              <w:left w:type="dxa" w:w="110"/>
              <w:bottom w:type="dxa" w:w="60"/>
              <w:right w:type="dxa" w:w="110"/>
            </w:tcMar>
          </w:tcPr>
          <w:p>
            <w:pPr>
              <w:spacing w:after="0" w:line="240"/>
            </w:pPr>
            <w:r>
              <w:rPr>
                <w:rFonts w:ascii="Calibri" w:cs="Calibri" w:eastAsia="Calibri" w:hAnsi="Calibri"/>
                <w:b/>
                <w:bCs/>
                <w:color w:val="0B0B0B"/>
                <w:sz w:val="20"/>
                <w:szCs w:val="20"/>
              </w:rPr>
              <w:t xml:space="preserve">Chỉ tiêu</w:t>
            </w:r>
          </w:p>
        </w:tc>
        <w:tc>
          <w:tcPr>
            <w:tcW w:type="dxa" w:w="2600"/>
            <w:shd w:fill="EDF3FB" w:color="auto" w:val="clear"/>
            <w:tcMar>
              <w:top w:type="dxa" w:w="60"/>
              <w:left w:type="dxa" w:w="110"/>
              <w:bottom w:type="dxa" w:w="60"/>
              <w:right w:type="dxa" w:w="110"/>
            </w:tcMar>
          </w:tcPr>
          <w:p>
            <w:pPr>
              <w:spacing w:after="0" w:line="240"/>
              <w:jc w:val="right"/>
            </w:pPr>
            <w:r>
              <w:rPr>
                <w:rFonts w:ascii="Calibri" w:cs="Calibri" w:eastAsia="Calibri" w:hAnsi="Calibri"/>
                <w:b/>
                <w:bCs/>
                <w:color w:val="0B0B0B"/>
                <w:sz w:val="20"/>
                <w:szCs w:val="20"/>
              </w:rPr>
              <w:t xml:space="preserve">Giá trị</w:t>
            </w:r>
          </w:p>
        </w:tc>
      </w:tr>
      <w:tr>
        <w:tc>
          <w:tcPr>
            <w:tcW w:type="dxa" w:w="52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Dòng (văn bản – thực thể)</w:t>
            </w:r>
          </w:p>
        </w:tc>
        <w:tc>
          <w:tcPr>
            <w:tcW w:type="dxa" w:w="26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203</w:t>
            </w:r>
          </w:p>
        </w:tc>
      </w:tr>
      <w:tr>
        <w:tc>
          <w:tcPr>
            <w:tcW w:type="dxa" w:w="52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Thực thể canonical duy nhất</w:t>
            </w:r>
          </w:p>
        </w:tc>
        <w:tc>
          <w:tcPr>
            <w:tcW w:type="dxa" w:w="26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129</w:t>
            </w:r>
          </w:p>
        </w:tc>
      </w:tr>
      <w:tr>
        <w:tc>
          <w:tcPr>
            <w:tcW w:type="dxa" w:w="52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 DoiTuongApDung</w:t>
            </w:r>
          </w:p>
        </w:tc>
        <w:tc>
          <w:tcPr>
            <w:tcW w:type="dxa" w:w="26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98</w:t>
            </w:r>
          </w:p>
        </w:tc>
      </w:tr>
      <w:tr>
        <w:tc>
          <w:tcPr>
            <w:tcW w:type="dxa" w:w="52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 NguoiKy</w:t>
            </w:r>
          </w:p>
        </w:tc>
        <w:tc>
          <w:tcPr>
            <w:tcW w:type="dxa" w:w="26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14</w:t>
            </w:r>
          </w:p>
        </w:tc>
      </w:tr>
      <w:tr>
        <w:tc>
          <w:tcPr>
            <w:tcW w:type="dxa" w:w="52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 LinhVuc</w:t>
            </w:r>
          </w:p>
        </w:tc>
        <w:tc>
          <w:tcPr>
            <w:tcW w:type="dxa" w:w="26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13</w:t>
            </w:r>
          </w:p>
        </w:tc>
      </w:tr>
      <w:tr>
        <w:tc>
          <w:tcPr>
            <w:tcW w:type="dxa" w:w="52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 CoQuan</w:t>
            </w:r>
          </w:p>
        </w:tc>
        <w:tc>
          <w:tcPr>
            <w:tcW w:type="dxa" w:w="26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4</w:t>
            </w:r>
          </w:p>
        </w:tc>
      </w:tr>
      <w:tr>
        <w:tc>
          <w:tcPr>
            <w:tcW w:type="dxa" w:w="52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Cặp bí danh đã gộp</w:t>
            </w:r>
          </w:p>
        </w:tc>
        <w:tc>
          <w:tcPr>
            <w:tcW w:type="dxa" w:w="26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16</w:t>
            </w:r>
          </w:p>
        </w:tc>
      </w:tr>
      <w:tr>
        <w:tc>
          <w:tcPr>
            <w:tcW w:type="dxa" w:w="52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Trường hợp gộp nhầm tên người</w:t>
            </w:r>
          </w:p>
        </w:tc>
        <w:tc>
          <w:tcPr>
            <w:tcW w:type="dxa" w:w="26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0</w:t>
            </w:r>
          </w:p>
        </w:tc>
      </w:tr>
    </w:tbl>
    <w:p>
      <w:pPr>
        <w:spacing w:after="120" w:line="276"/>
      </w:pPr>
      <w:r>
        <w:rPr>
          <w:rFonts w:ascii="Calibri" w:cs="Calibri" w:eastAsia="Calibri" w:hAnsi="Calibri"/>
          <w:color w:val="0B0B0B"/>
          <w:sz w:val="22"/>
          <w:szCs w:val="22"/>
        </w:rPr>
        <w:t xml:space="preserve">Việc gộp bí danh chỉ áp dụng cho những trường hợp chắc chắn cùng một đối tượng (ví dụ "NHNN" và "Ngân hàng Nhà nước" cùng quy về "Ngân hàng Nhà nước Việt Nam"). Riêng tên người tuyệt đối không gộp mờ. Mỗi dòng đều lưu song song canonical_name và original_name để truy vết ngược.</w:t>
      </w:r>
    </w:p>
    <w:p>
      <w:pPr>
        <w:pStyle w:val="Heading2"/>
        <w:spacing w:after="140" w:before="280"/>
      </w:pPr>
      <w:r>
        <w:rPr>
          <w:rFonts w:ascii="Calibri" w:cs="Calibri" w:eastAsia="Calibri" w:hAnsi="Calibri"/>
          <w:b/>
          <w:bCs/>
          <w:color w:val="0B0B0B"/>
          <w:sz w:val="25"/>
          <w:szCs w:val="25"/>
        </w:rPr>
        <w:t xml:space="preserve">Bước 5 – Trích xuất quan hệ</w:t>
      </w:r>
    </w:p>
    <w:p>
      <w:pPr>
        <w:spacing w:after="120" w:line="276"/>
      </w:pPr>
      <w:r>
        <w:rPr>
          <w:rFonts w:ascii="Calibri" w:cs="Calibri" w:eastAsia="Calibri" w:hAnsi="Calibri"/>
          <w:color w:val="0B0B0B"/>
          <w:sz w:val="22"/>
          <w:szCs w:val="22"/>
        </w:rPr>
        <w:t xml:space="preserve">Các candidate từ Bước 2 được phân loại thành quan hệ thực sự giữa hai văn bản, đồng thời sinh các quan hệ giữa văn bản và thực thể từ dữ liệu đã chuẩn hóa ở Bước 4. Tổng cộng 305 quan hệ thô được tạo ra.</w:t>
      </w:r>
    </w:p>
    <w:p>
      <w:pPr>
        <w:spacing w:after="120" w:line="276"/>
      </w:pPr>
      <w:r>
        <w:rPr>
          <w:rFonts w:ascii="Calibri" w:cs="Calibri" w:eastAsia="Calibri" w:hAnsi="Calibri"/>
          <w:color w:val="0B0B0B"/>
          <w:sz w:val="22"/>
          <w:szCs w:val="22"/>
        </w:rPr>
        <w:t xml:space="preserve">Lỗi phát hiện và đã sửa: đây chính là lỗi mà đề bài cảnh báo — nhầm lẫn giữa "sửa đổi" và "thay thế". Điều 2 của Thông tư 43/2024/TT-NHNN ghi "Thay thế, bổ sung và bãi bỏ một số quy định của Thông tư số 01/2014/TT-NHNN". Cách phân loại ban đầu bắt được từ khóa "thay thế" và kết luận đây là quan hệ THAY_THE_BOI, trong khi thực chất chỉ thay thế một số quy định, tức là quan hệ SUA_DOI_BO_SUNG. Cách xử lý: bổ sung nhận diện các cụm chỉ phạm vi một phần ("một số quy định", "một số điều", "Phụ lục", "Điều", "khoản") để phân biệt sửa đổi cục bộ với thay thế toàn bộ văn bản.</w:t>
      </w:r>
    </w:p>
    <w:p>
      <w:pPr>
        <w:spacing w:after="120" w:line="276"/>
      </w:pPr>
      <w:r>
        <w:rPr>
          <w:rFonts w:ascii="Calibri" w:cs="Calibri" w:eastAsia="Calibri" w:hAnsi="Calibri"/>
          <w:color w:val="0B0B0B"/>
          <w:sz w:val="22"/>
          <w:szCs w:val="22"/>
        </w:rPr>
        <w:t xml:space="preserve">Chiều của quan hệ THAY_THE_BOI được quy ước là văn bản cũ trỏ tới văn bản mới. Kết quả sau khi sửa khớp đúng ví dụ trong đề bài: 44/2011/TT-NHNN (cũ) → 62/2025/TT-NHNN (mới).</w:t>
      </w:r>
    </w:p>
    <w:p>
      <w:pPr>
        <w:pStyle w:val="Heading2"/>
        <w:spacing w:after="140" w:before="280"/>
      </w:pPr>
      <w:r>
        <w:rPr>
          <w:rFonts w:ascii="Calibri" w:cs="Calibri" w:eastAsia="Calibri" w:hAnsi="Calibri"/>
          <w:b/>
          <w:bCs/>
          <w:color w:val="0B0B0B"/>
          <w:sz w:val="25"/>
          <w:szCs w:val="25"/>
        </w:rPr>
        <w:t xml:space="preserve">Bước 6 – Kiểm định quan hệ</w:t>
      </w:r>
    </w:p>
    <w:p>
      <w:pPr>
        <w:spacing w:after="120" w:line="276"/>
      </w:pPr>
      <w:r>
        <w:rPr>
          <w:rFonts w:ascii="Calibri" w:cs="Calibri" w:eastAsia="Calibri" w:hAnsi="Calibri"/>
          <w:color w:val="0B0B0B"/>
          <w:sz w:val="22"/>
          <w:szCs w:val="22"/>
        </w:rPr>
        <w:t xml:space="preserve">Đây là bước bảo vệ chất lượng dữ liệu trước khi đưa vào Neo4j. Mỗi quan hệ được kiểm tra: đầy đủ trường bắt buộc, loại quan hệ hợp lệ, có evidence, nút nguồn và nút đích tồn tại, không tự trỏ về chính mình, không trùng lặp.</w:t>
      </w:r>
    </w:p>
    <w:p>
      <w:pPr>
        <w:spacing w:after="60" w:before="160"/>
        <w:jc w:val="center"/>
      </w:pPr>
      <w:r>
        <w:drawing>
          <wp:inline distT="0" distB="0" distL="0" distR="0">
            <wp:extent cx="59055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466850"/>
                    </a:xfrm>
                    <a:prstGeom prst="rect">
                      <a:avLst/>
                    </a:prstGeom>
                  </pic:spPr>
                </pic:pic>
              </a:graphicData>
            </a:graphic>
          </wp:inline>
        </w:drawing>
      </w:r>
    </w:p>
    <w:p>
      <w:pPr>
        <w:spacing w:after="220"/>
        <w:jc w:val="center"/>
      </w:pPr>
      <w:r>
        <w:rPr>
          <w:rFonts w:ascii="Calibri" w:cs="Calibri" w:eastAsia="Calibri" w:hAnsi="Calibri"/>
          <w:i/>
          <w:iCs/>
          <w:color w:val="6B6A66"/>
          <w:sz w:val="19"/>
          <w:szCs w:val="19"/>
        </w:rPr>
        <w:t xml:space="preserve">Hình 2. Kết quả kiểm định quan hệ và nguyên nhân bị loại</w:t>
      </w:r>
    </w:p>
    <w:p>
      <w:pPr>
        <w:spacing w:after="120" w:line="276"/>
      </w:pPr>
      <w:r>
        <w:rPr>
          <w:rFonts w:ascii="Calibri" w:cs="Calibri" w:eastAsia="Calibri" w:hAnsi="Calibri"/>
          <w:color w:val="0B0B0B"/>
          <w:sz w:val="22"/>
          <w:szCs w:val="22"/>
        </w:rPr>
        <w:t xml:space="preserve">79 quan hệ bị loại không phải do lỗi trích xuất mà do trỏ tới văn bản nằm ngoài tập 30 văn bản — ví dụ Thông tư 37/2014/TT-NHNN căn cứ vào Nghị định 156/2013/NĐ-CP, mà nghị định này không có trong tập dữ liệu. Đây là hành vi đúng theo yêu cầu đồ thị đóng (closed-corpus) của đề bài. Toàn bộ 79 dòng này được ghi vào validation_report.csv kèm lý do cụ thể để có thể rà soát lại.</w:t>
      </w:r>
    </w:p>
    <w:p>
      <w:r>
        <w:br w:type="page"/>
      </w:r>
    </w:p>
    <w:p>
      <w:pPr>
        <w:pStyle w:val="Heading2"/>
        <w:spacing w:after="140" w:before="280"/>
      </w:pPr>
      <w:r>
        <w:rPr>
          <w:rFonts w:ascii="Calibri" w:cs="Calibri" w:eastAsia="Calibri" w:hAnsi="Calibri"/>
          <w:b/>
          <w:bCs/>
          <w:color w:val="0B0B0B"/>
          <w:sz w:val="25"/>
          <w:szCs w:val="25"/>
        </w:rPr>
        <w:t xml:space="preserve">Bước 7 và 8 – Kết nối và import vào Neo4j</w:t>
      </w:r>
    </w:p>
    <w:p>
      <w:pPr>
        <w:spacing w:after="120" w:line="276"/>
      </w:pPr>
      <w:r>
        <w:rPr>
          <w:rFonts w:ascii="Calibri" w:cs="Calibri" w:eastAsia="Calibri" w:hAnsi="Calibri"/>
          <w:color w:val="0B0B0B"/>
          <w:sz w:val="22"/>
          <w:szCs w:val="22"/>
        </w:rPr>
        <w:t xml:space="preserve">Cấu hình Neo4j được đọc từ .env, mật khẩu không in ra màn hình. Trước khi import, hệ thống tạo năm uniqueness constraint (một cho Document theo số ký hiệu, bốn cho các loại thực thể theo canonical_name), sau đó dùng MERGE thay vì CREATE để bảo đảm chạy lại không sinh dữ liệu trùng.</w:t>
      </w:r>
    </w:p>
    <w:tbl>
      <w:tblPr>
        <w:tblW w:type="dxa" w:w="7800"/>
        <w:tblBorders>
          <w:top w:val="single" w:color="D8D7D2" w:sz="4"/>
          <w:left w:val="none"/>
          <w:bottom w:val="single" w:color="D8D7D2" w:sz="4"/>
          <w:right w:val="none"/>
          <w:insideH w:val="single" w:color="E7E6E1" w:sz="2"/>
          <w:insideV w:val="none"/>
        </w:tblBorders>
      </w:tblPr>
      <w:tblGrid>
        <w:gridCol w:w="3900"/>
        <w:gridCol w:w="1950"/>
        <w:gridCol w:w="1950"/>
      </w:tblGrid>
      <w:tr>
        <w:trPr>
          <w:tblHeader/>
        </w:trPr>
        <w:tc>
          <w:tcPr>
            <w:tcW w:type="dxa" w:w="3900"/>
            <w:shd w:fill="EDF3FB" w:color="auto" w:val="clear"/>
            <w:tcMar>
              <w:top w:type="dxa" w:w="60"/>
              <w:left w:type="dxa" w:w="110"/>
              <w:bottom w:type="dxa" w:w="60"/>
              <w:right w:type="dxa" w:w="110"/>
            </w:tcMar>
          </w:tcPr>
          <w:p>
            <w:pPr>
              <w:spacing w:after="0" w:line="240"/>
            </w:pPr>
            <w:r>
              <w:rPr>
                <w:rFonts w:ascii="Calibri" w:cs="Calibri" w:eastAsia="Calibri" w:hAnsi="Calibri"/>
                <w:b/>
                <w:bCs/>
                <w:color w:val="0B0B0B"/>
                <w:sz w:val="20"/>
                <w:szCs w:val="20"/>
              </w:rPr>
              <w:t xml:space="preserve">Loại node</w:t>
            </w:r>
          </w:p>
        </w:tc>
        <w:tc>
          <w:tcPr>
            <w:tcW w:type="dxa" w:w="1950"/>
            <w:shd w:fill="EDF3FB" w:color="auto" w:val="clear"/>
            <w:tcMar>
              <w:top w:type="dxa" w:w="60"/>
              <w:left w:type="dxa" w:w="110"/>
              <w:bottom w:type="dxa" w:w="60"/>
              <w:right w:type="dxa" w:w="110"/>
            </w:tcMar>
          </w:tcPr>
          <w:p>
            <w:pPr>
              <w:spacing w:after="0" w:line="240"/>
              <w:jc w:val="right"/>
            </w:pPr>
            <w:r>
              <w:rPr>
                <w:rFonts w:ascii="Calibri" w:cs="Calibri" w:eastAsia="Calibri" w:hAnsi="Calibri"/>
                <w:b/>
                <w:bCs/>
                <w:color w:val="0B0B0B"/>
                <w:sz w:val="20"/>
                <w:szCs w:val="20"/>
              </w:rPr>
              <w:t xml:space="preserve">CSV</w:t>
            </w:r>
          </w:p>
        </w:tc>
        <w:tc>
          <w:tcPr>
            <w:tcW w:type="dxa" w:w="1950"/>
            <w:shd w:fill="EDF3FB" w:color="auto" w:val="clear"/>
            <w:tcMar>
              <w:top w:type="dxa" w:w="60"/>
              <w:left w:type="dxa" w:w="110"/>
              <w:bottom w:type="dxa" w:w="60"/>
              <w:right w:type="dxa" w:w="110"/>
            </w:tcMar>
          </w:tcPr>
          <w:p>
            <w:pPr>
              <w:spacing w:after="0" w:line="240"/>
              <w:jc w:val="right"/>
            </w:pPr>
            <w:r>
              <w:rPr>
                <w:rFonts w:ascii="Calibri" w:cs="Calibri" w:eastAsia="Calibri" w:hAnsi="Calibri"/>
                <w:b/>
                <w:bCs/>
                <w:color w:val="0B0B0B"/>
                <w:sz w:val="20"/>
                <w:szCs w:val="20"/>
              </w:rPr>
              <w:t xml:space="preserve">Neo4j</w:t>
            </w:r>
          </w:p>
        </w:tc>
      </w:tr>
      <w:tr>
        <w:tc>
          <w:tcPr>
            <w:tcW w:type="dxa" w:w="39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DoiTuongApDung</w:t>
            </w:r>
          </w:p>
        </w:tc>
        <w:tc>
          <w:tcPr>
            <w:tcW w:type="dxa" w:w="195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98</w:t>
            </w:r>
          </w:p>
        </w:tc>
        <w:tc>
          <w:tcPr>
            <w:tcW w:type="dxa" w:w="195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98</w:t>
            </w:r>
          </w:p>
        </w:tc>
      </w:tr>
      <w:tr>
        <w:tc>
          <w:tcPr>
            <w:tcW w:type="dxa" w:w="39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Document</w:t>
            </w:r>
          </w:p>
        </w:tc>
        <w:tc>
          <w:tcPr>
            <w:tcW w:type="dxa" w:w="195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30</w:t>
            </w:r>
          </w:p>
        </w:tc>
        <w:tc>
          <w:tcPr>
            <w:tcW w:type="dxa" w:w="195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30</w:t>
            </w:r>
          </w:p>
        </w:tc>
      </w:tr>
      <w:tr>
        <w:tc>
          <w:tcPr>
            <w:tcW w:type="dxa" w:w="39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NguoiKy</w:t>
            </w:r>
          </w:p>
        </w:tc>
        <w:tc>
          <w:tcPr>
            <w:tcW w:type="dxa" w:w="195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14</w:t>
            </w:r>
          </w:p>
        </w:tc>
        <w:tc>
          <w:tcPr>
            <w:tcW w:type="dxa" w:w="195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14</w:t>
            </w:r>
          </w:p>
        </w:tc>
      </w:tr>
      <w:tr>
        <w:tc>
          <w:tcPr>
            <w:tcW w:type="dxa" w:w="39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LinhVuc</w:t>
            </w:r>
          </w:p>
        </w:tc>
        <w:tc>
          <w:tcPr>
            <w:tcW w:type="dxa" w:w="195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13</w:t>
            </w:r>
          </w:p>
        </w:tc>
        <w:tc>
          <w:tcPr>
            <w:tcW w:type="dxa" w:w="195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13</w:t>
            </w:r>
          </w:p>
        </w:tc>
      </w:tr>
      <w:tr>
        <w:tc>
          <w:tcPr>
            <w:tcW w:type="dxa" w:w="39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CoQuan</w:t>
            </w:r>
          </w:p>
        </w:tc>
        <w:tc>
          <w:tcPr>
            <w:tcW w:type="dxa" w:w="195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4</w:t>
            </w:r>
          </w:p>
        </w:tc>
        <w:tc>
          <w:tcPr>
            <w:tcW w:type="dxa" w:w="195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4</w:t>
            </w:r>
          </w:p>
        </w:tc>
      </w:tr>
      <w:tr>
        <w:tc>
          <w:tcPr>
            <w:tcW w:type="dxa" w:w="3900"/>
            <w:shd w:fill="F7F7F5" w:color="auto" w:val="clear"/>
            <w:tcMar>
              <w:top w:type="dxa" w:w="60"/>
              <w:left w:type="dxa" w:w="110"/>
              <w:bottom w:type="dxa" w:w="60"/>
              <w:right w:type="dxa" w:w="110"/>
            </w:tcMar>
          </w:tcPr>
          <w:p>
            <w:pPr>
              <w:spacing w:after="0" w:line="240"/>
            </w:pPr>
            <w:r>
              <w:rPr>
                <w:rFonts w:ascii="Calibri" w:cs="Calibri" w:eastAsia="Calibri" w:hAnsi="Calibri"/>
                <w:b/>
                <w:bCs/>
                <w:color w:val="0B0B0B"/>
                <w:sz w:val="20"/>
                <w:szCs w:val="20"/>
              </w:rPr>
              <w:t xml:space="preserve">Tổng</w:t>
            </w:r>
          </w:p>
        </w:tc>
        <w:tc>
          <w:tcPr>
            <w:tcW w:type="dxa" w:w="195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159</w:t>
            </w:r>
          </w:p>
        </w:tc>
        <w:tc>
          <w:tcPr>
            <w:tcW w:type="dxa" w:w="195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159</w:t>
            </w:r>
          </w:p>
        </w:tc>
      </w:tr>
    </w:tbl>
    <w:p>
      <w:pPr>
        <w:spacing w:after="120"/>
      </w:pPr>
    </w:p>
    <w:tbl>
      <w:tblPr>
        <w:tblW w:type="dxa" w:w="7800"/>
        <w:tblBorders>
          <w:top w:val="single" w:color="D8D7D2" w:sz="4"/>
          <w:left w:val="none"/>
          <w:bottom w:val="single" w:color="D8D7D2" w:sz="4"/>
          <w:right w:val="none"/>
          <w:insideH w:val="single" w:color="E7E6E1" w:sz="2"/>
          <w:insideV w:val="none"/>
        </w:tblBorders>
      </w:tblPr>
      <w:tblGrid>
        <w:gridCol w:w="3900"/>
        <w:gridCol w:w="1950"/>
        <w:gridCol w:w="1950"/>
      </w:tblGrid>
      <w:tr>
        <w:trPr>
          <w:tblHeader/>
        </w:trPr>
        <w:tc>
          <w:tcPr>
            <w:tcW w:type="dxa" w:w="3900"/>
            <w:shd w:fill="EDF3FB" w:color="auto" w:val="clear"/>
            <w:tcMar>
              <w:top w:type="dxa" w:w="60"/>
              <w:left w:type="dxa" w:w="110"/>
              <w:bottom w:type="dxa" w:w="60"/>
              <w:right w:type="dxa" w:w="110"/>
            </w:tcMar>
          </w:tcPr>
          <w:p>
            <w:pPr>
              <w:spacing w:after="0" w:line="240"/>
            </w:pPr>
            <w:r>
              <w:rPr>
                <w:rFonts w:ascii="Calibri" w:cs="Calibri" w:eastAsia="Calibri" w:hAnsi="Calibri"/>
                <w:b/>
                <w:bCs/>
                <w:color w:val="0B0B0B"/>
                <w:sz w:val="20"/>
                <w:szCs w:val="20"/>
              </w:rPr>
              <w:t xml:space="preserve">Loại quan hệ</w:t>
            </w:r>
          </w:p>
        </w:tc>
        <w:tc>
          <w:tcPr>
            <w:tcW w:type="dxa" w:w="1950"/>
            <w:shd w:fill="EDF3FB" w:color="auto" w:val="clear"/>
            <w:tcMar>
              <w:top w:type="dxa" w:w="60"/>
              <w:left w:type="dxa" w:w="110"/>
              <w:bottom w:type="dxa" w:w="60"/>
              <w:right w:type="dxa" w:w="110"/>
            </w:tcMar>
          </w:tcPr>
          <w:p>
            <w:pPr>
              <w:spacing w:after="0" w:line="240"/>
              <w:jc w:val="right"/>
            </w:pPr>
            <w:r>
              <w:rPr>
                <w:rFonts w:ascii="Calibri" w:cs="Calibri" w:eastAsia="Calibri" w:hAnsi="Calibri"/>
                <w:b/>
                <w:bCs/>
                <w:color w:val="0B0B0B"/>
                <w:sz w:val="20"/>
                <w:szCs w:val="20"/>
              </w:rPr>
              <w:t xml:space="preserve">CSV</w:t>
            </w:r>
          </w:p>
        </w:tc>
        <w:tc>
          <w:tcPr>
            <w:tcW w:type="dxa" w:w="1950"/>
            <w:shd w:fill="EDF3FB" w:color="auto" w:val="clear"/>
            <w:tcMar>
              <w:top w:type="dxa" w:w="60"/>
              <w:left w:type="dxa" w:w="110"/>
              <w:bottom w:type="dxa" w:w="60"/>
              <w:right w:type="dxa" w:w="110"/>
            </w:tcMar>
          </w:tcPr>
          <w:p>
            <w:pPr>
              <w:spacing w:after="0" w:line="240"/>
              <w:jc w:val="right"/>
            </w:pPr>
            <w:r>
              <w:rPr>
                <w:rFonts w:ascii="Calibri" w:cs="Calibri" w:eastAsia="Calibri" w:hAnsi="Calibri"/>
                <w:b/>
                <w:bCs/>
                <w:color w:val="0B0B0B"/>
                <w:sz w:val="20"/>
                <w:szCs w:val="20"/>
              </w:rPr>
              <w:t xml:space="preserve">Neo4j</w:t>
            </w:r>
          </w:p>
        </w:tc>
      </w:tr>
      <w:tr>
        <w:tc>
          <w:tcPr>
            <w:tcW w:type="dxa" w:w="39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AP_DUNG_CHO</w:t>
            </w:r>
          </w:p>
        </w:tc>
        <w:tc>
          <w:tcPr>
            <w:tcW w:type="dxa" w:w="195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113</w:t>
            </w:r>
          </w:p>
        </w:tc>
        <w:tc>
          <w:tcPr>
            <w:tcW w:type="dxa" w:w="195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113</w:t>
            </w:r>
          </w:p>
        </w:tc>
      </w:tr>
      <w:tr>
        <w:tc>
          <w:tcPr>
            <w:tcW w:type="dxa" w:w="39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BAN_HANH_BOI</w:t>
            </w:r>
          </w:p>
        </w:tc>
        <w:tc>
          <w:tcPr>
            <w:tcW w:type="dxa" w:w="195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30</w:t>
            </w:r>
          </w:p>
        </w:tc>
        <w:tc>
          <w:tcPr>
            <w:tcW w:type="dxa" w:w="195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30</w:t>
            </w:r>
          </w:p>
        </w:tc>
      </w:tr>
      <w:tr>
        <w:tc>
          <w:tcPr>
            <w:tcW w:type="dxa" w:w="39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KY_BOI</w:t>
            </w:r>
          </w:p>
        </w:tc>
        <w:tc>
          <w:tcPr>
            <w:tcW w:type="dxa" w:w="195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30</w:t>
            </w:r>
          </w:p>
        </w:tc>
        <w:tc>
          <w:tcPr>
            <w:tcW w:type="dxa" w:w="195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30</w:t>
            </w:r>
          </w:p>
        </w:tc>
      </w:tr>
      <w:tr>
        <w:tc>
          <w:tcPr>
            <w:tcW w:type="dxa" w:w="39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THUOC_LINH_VUC</w:t>
            </w:r>
          </w:p>
        </w:tc>
        <w:tc>
          <w:tcPr>
            <w:tcW w:type="dxa" w:w="195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30</w:t>
            </w:r>
          </w:p>
        </w:tc>
        <w:tc>
          <w:tcPr>
            <w:tcW w:type="dxa" w:w="195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30</w:t>
            </w:r>
          </w:p>
        </w:tc>
      </w:tr>
      <w:tr>
        <w:tc>
          <w:tcPr>
            <w:tcW w:type="dxa" w:w="39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THAM_CHIEU</w:t>
            </w:r>
          </w:p>
        </w:tc>
        <w:tc>
          <w:tcPr>
            <w:tcW w:type="dxa" w:w="195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15</w:t>
            </w:r>
          </w:p>
        </w:tc>
        <w:tc>
          <w:tcPr>
            <w:tcW w:type="dxa" w:w="195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15</w:t>
            </w:r>
          </w:p>
        </w:tc>
      </w:tr>
      <w:tr>
        <w:tc>
          <w:tcPr>
            <w:tcW w:type="dxa" w:w="39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SUA_DOI_BO_SUNG</w:t>
            </w:r>
          </w:p>
        </w:tc>
        <w:tc>
          <w:tcPr>
            <w:tcW w:type="dxa" w:w="195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7</w:t>
            </w:r>
          </w:p>
        </w:tc>
        <w:tc>
          <w:tcPr>
            <w:tcW w:type="dxa" w:w="195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7</w:t>
            </w:r>
          </w:p>
        </w:tc>
      </w:tr>
      <w:tr>
        <w:tc>
          <w:tcPr>
            <w:tcW w:type="dxa" w:w="39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THAY_THE_BOI</w:t>
            </w:r>
          </w:p>
        </w:tc>
        <w:tc>
          <w:tcPr>
            <w:tcW w:type="dxa" w:w="195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1</w:t>
            </w:r>
          </w:p>
        </w:tc>
        <w:tc>
          <w:tcPr>
            <w:tcW w:type="dxa" w:w="195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1</w:t>
            </w:r>
          </w:p>
        </w:tc>
      </w:tr>
      <w:tr>
        <w:tc>
          <w:tcPr>
            <w:tcW w:type="dxa" w:w="3900"/>
            <w:shd w:fill="F7F7F5" w:color="auto" w:val="clear"/>
            <w:tcMar>
              <w:top w:type="dxa" w:w="60"/>
              <w:left w:type="dxa" w:w="110"/>
              <w:bottom w:type="dxa" w:w="60"/>
              <w:right w:type="dxa" w:w="110"/>
            </w:tcMar>
          </w:tcPr>
          <w:p>
            <w:pPr>
              <w:spacing w:after="0" w:line="240"/>
            </w:pPr>
            <w:r>
              <w:rPr>
                <w:rFonts w:ascii="Calibri" w:cs="Calibri" w:eastAsia="Calibri" w:hAnsi="Calibri"/>
                <w:b/>
                <w:bCs/>
                <w:color w:val="0B0B0B"/>
                <w:sz w:val="20"/>
                <w:szCs w:val="20"/>
              </w:rPr>
              <w:t xml:space="preserve">Tổng</w:t>
            </w:r>
          </w:p>
        </w:tc>
        <w:tc>
          <w:tcPr>
            <w:tcW w:type="dxa" w:w="195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226</w:t>
            </w:r>
          </w:p>
        </w:tc>
        <w:tc>
          <w:tcPr>
            <w:tcW w:type="dxa" w:w="195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226</w:t>
            </w:r>
          </w:p>
        </w:tc>
      </w:tr>
    </w:tbl>
    <w:p>
      <w:pPr>
        <w:spacing w:after="120" w:line="276"/>
      </w:pPr>
      <w:r>
        <w:rPr>
          <w:rFonts w:ascii="Calibri" w:cs="Calibri" w:eastAsia="Calibri" w:hAnsi="Calibri"/>
          <w:color w:val="0B0B0B"/>
          <w:sz w:val="22"/>
          <w:szCs w:val="22"/>
        </w:rPr>
        <w:t xml:space="preserve">Kiểm tra tính idempotent (điều kiện PASS quan trọng nhất của bước này): chạy lại toàn bộ script import lần thứ hai, Neo4j báo có cập nhật thuộc tính nhưng không tạo thêm bất kỳ node hay quan hệ nào; tổng số vẫn giữ nguyên 159 node và 226 quan hệ. Điều này xác nhận thiết kế MERGE kết hợp uniqueness constraint hoạt động đúng.</w:t>
      </w:r>
    </w:p>
    <w:p>
      <w:pPr>
        <w:spacing w:after="120" w:line="276"/>
      </w:pPr>
      <w:r>
        <w:rPr>
          <w:rFonts w:ascii="Calibri" w:cs="Calibri" w:eastAsia="Calibri" w:hAnsi="Calibri"/>
          <w:color w:val="0B0B0B"/>
          <w:sz w:val="22"/>
          <w:szCs w:val="22"/>
        </w:rPr>
        <w:t xml:space="preserve">Một lỗi kỹ thuật được phát hiện và sửa trong bước này: các giá trị rỗng ban đầu bị sinh ra thành chuỗi "nan" trong câu lệnh Cypher, vốn không phải cú pháp hợp lệ; đã chuyển thành null.</w:t>
      </w:r>
    </w:p>
    <w:p>
      <w:pPr>
        <w:pStyle w:val="Heading2"/>
        <w:spacing w:after="140" w:before="280"/>
      </w:pPr>
      <w:r>
        <w:rPr>
          <w:rFonts w:ascii="Calibri" w:cs="Calibri" w:eastAsia="Calibri" w:hAnsi="Calibri"/>
          <w:b/>
          <w:bCs/>
          <w:color w:val="0B0B0B"/>
          <w:sz w:val="25"/>
          <w:szCs w:val="25"/>
        </w:rPr>
        <w:t xml:space="preserve">Bước 9 – Truy vấn kiểm tra và trực quan hóa</w:t>
      </w:r>
    </w:p>
    <w:p>
      <w:pPr>
        <w:spacing w:after="60" w:before="160"/>
        <w:jc w:val="center"/>
      </w:pPr>
      <w:r>
        <w:drawing>
          <wp:inline distT="0" distB="0" distL="0" distR="0">
            <wp:extent cx="6096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124200"/>
                    </a:xfrm>
                    <a:prstGeom prst="rect">
                      <a:avLst/>
                    </a:prstGeom>
                  </pic:spPr>
                </pic:pic>
              </a:graphicData>
            </a:graphic>
          </wp:inline>
        </w:drawing>
      </w:r>
    </w:p>
    <w:p>
      <w:pPr>
        <w:spacing w:after="220"/>
        <w:jc w:val="center"/>
      </w:pPr>
      <w:r>
        <w:rPr>
          <w:rFonts w:ascii="Calibri" w:cs="Calibri" w:eastAsia="Calibri" w:hAnsi="Calibri"/>
          <w:i/>
          <w:iCs/>
          <w:color w:val="6B6A66"/>
          <w:sz w:val="19"/>
          <w:szCs w:val="19"/>
        </w:rPr>
        <w:t xml:space="preserve">Hình 3. Mạng lưới quan hệ giữa các văn bản, xếp theo tầng thứ bậc pháp lý</w:t>
      </w:r>
    </w:p>
    <w:p>
      <w:pPr>
        <w:spacing w:after="120" w:line="276"/>
      </w:pPr>
      <w:r>
        <w:rPr>
          <w:rFonts w:ascii="Calibri" w:cs="Calibri" w:eastAsia="Calibri" w:hAnsi="Calibri"/>
          <w:color w:val="0B0B0B"/>
          <w:sz w:val="22"/>
          <w:szCs w:val="22"/>
        </w:rPr>
        <w:t xml:space="preserve">Hình 3 cho thấy cấu trúc phân tầng rõ rệt: các đạo luật gốc nằm ở tầng dưới cùng, các nghị định và thông tư căn cứ vào chúng nằm ở tầng trên. Kích thước node tỉ lệ với số lần văn bản được viện dẫn.</w:t>
      </w:r>
    </w:p>
    <w:p>
      <w:pPr>
        <w:spacing w:after="60" w:before="160"/>
        <w:jc w:val="center"/>
      </w:pPr>
      <w:r>
        <w:drawing>
          <wp:inline distT="0" distB="0" distL="0" distR="0">
            <wp:extent cx="5905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86125"/>
                    </a:xfrm>
                    <a:prstGeom prst="rect">
                      <a:avLst/>
                    </a:prstGeom>
                  </pic:spPr>
                </pic:pic>
              </a:graphicData>
            </a:graphic>
          </wp:inline>
        </w:drawing>
      </w:r>
    </w:p>
    <w:p>
      <w:pPr>
        <w:spacing w:after="220"/>
        <w:jc w:val="center"/>
      </w:pPr>
      <w:r>
        <w:rPr>
          <w:rFonts w:ascii="Calibri" w:cs="Calibri" w:eastAsia="Calibri" w:hAnsi="Calibri"/>
          <w:i/>
          <w:iCs/>
          <w:color w:val="6B6A66"/>
          <w:sz w:val="19"/>
          <w:szCs w:val="19"/>
        </w:rPr>
        <w:t xml:space="preserve">Hình 4. Toàn cảnh một văn bản: Luật Ngân hàng Nhà nước Việt Nam 46/2010/QH12</w:t>
      </w:r>
    </w:p>
    <w:p>
      <w:pPr>
        <w:spacing w:after="120" w:line="276"/>
      </w:pPr>
      <w:r>
        <w:rPr>
          <w:rFonts w:ascii="Calibri" w:cs="Calibri" w:eastAsia="Calibri" w:hAnsi="Calibri"/>
          <w:color w:val="0B0B0B"/>
          <w:sz w:val="22"/>
          <w:szCs w:val="22"/>
        </w:rPr>
        <w:t xml:space="preserve">Luật Ngân hàng Nhà nước Việt Nam 46/2010/QH12 là văn bản được viện dẫn nhiều nhất trong tập dữ liệu (7 lần). Từ node trung tâm này có thể truy ra ngay cơ quan ban hành, người ký, lĩnh vực và toàn bộ các thông tư căn cứ vào nó.</w:t>
      </w:r>
    </w:p>
    <w:p>
      <w:pPr>
        <w:spacing w:after="120" w:line="276"/>
      </w:pPr>
      <w:r>
        <w:rPr>
          <w:rFonts w:ascii="Calibri" w:cs="Calibri" w:eastAsia="Calibri" w:hAnsi="Calibri"/>
          <w:b/>
          <w:bCs/>
          <w:color w:val="0B0B0B"/>
          <w:sz w:val="22"/>
          <w:szCs w:val="22"/>
        </w:rPr>
        <w:t xml:space="preserve">Chuỗi quan hệ nhiều bước — giá trị cốt lõi mà file CSV phẳng không thể trả lời:</w:t>
      </w:r>
    </w:p>
    <w:tbl>
      <w:tblPr>
        <w:tblW w:type="dxa" w:w="7800"/>
        <w:tblBorders>
          <w:top w:val="single" w:color="D8D7D2" w:sz="4"/>
          <w:left w:val="none"/>
          <w:bottom w:val="single" w:color="D8D7D2" w:sz="4"/>
          <w:right w:val="none"/>
          <w:insideH w:val="single" w:color="E7E6E1" w:sz="2"/>
          <w:insideV w:val="none"/>
        </w:tblBorders>
      </w:tblPr>
      <w:tblGrid>
        <w:gridCol w:w="4200"/>
        <w:gridCol w:w="3600"/>
      </w:tblGrid>
      <w:tr>
        <w:trPr>
          <w:tblHeader/>
        </w:trPr>
        <w:tc>
          <w:tcPr>
            <w:tcW w:type="dxa" w:w="4200"/>
            <w:shd w:fill="EDF3FB" w:color="auto" w:val="clear"/>
            <w:tcMar>
              <w:top w:type="dxa" w:w="60"/>
              <w:left w:type="dxa" w:w="110"/>
              <w:bottom w:type="dxa" w:w="60"/>
              <w:right w:type="dxa" w:w="110"/>
            </w:tcMar>
          </w:tcPr>
          <w:p>
            <w:pPr>
              <w:spacing w:after="0" w:line="240"/>
            </w:pPr>
            <w:r>
              <w:rPr>
                <w:rFonts w:ascii="Calibri" w:cs="Calibri" w:eastAsia="Calibri" w:hAnsi="Calibri"/>
                <w:b/>
                <w:bCs/>
                <w:color w:val="0B0B0B"/>
                <w:sz w:val="20"/>
                <w:szCs w:val="20"/>
              </w:rPr>
              <w:t xml:space="preserve">Chuỗi quan hệ</w:t>
            </w:r>
          </w:p>
        </w:tc>
        <w:tc>
          <w:tcPr>
            <w:tcW w:type="dxa" w:w="3600"/>
            <w:shd w:fill="EDF3FB" w:color="auto" w:val="clear"/>
            <w:tcMar>
              <w:top w:type="dxa" w:w="60"/>
              <w:left w:type="dxa" w:w="110"/>
              <w:bottom w:type="dxa" w:w="60"/>
              <w:right w:type="dxa" w:w="110"/>
            </w:tcMar>
          </w:tcPr>
          <w:p>
            <w:pPr>
              <w:spacing w:after="0" w:line="240"/>
              <w:jc w:val="right"/>
            </w:pPr>
            <w:r>
              <w:rPr>
                <w:rFonts w:ascii="Calibri" w:cs="Calibri" w:eastAsia="Calibri" w:hAnsi="Calibri"/>
                <w:b/>
                <w:bCs/>
                <w:color w:val="0B0B0B"/>
                <w:sz w:val="20"/>
                <w:szCs w:val="20"/>
              </w:rPr>
              <w:t xml:space="preserve">Diễn giải</w:t>
            </w:r>
          </w:p>
        </w:tc>
      </w:tr>
      <w:tr>
        <w:tc>
          <w:tcPr>
            <w:tcW w:type="dxa" w:w="42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44/2011/TT-NHNN → 62/2025/TT-NHNN → 32/2024/QH15</w:t>
            </w:r>
          </w:p>
        </w:tc>
        <w:tc>
          <w:tcPr>
            <w:tcW w:type="dxa" w:w="36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Thông tư cũ bị thay thế; thông tư mới căn cứ Luật Các TCTD</w:t>
            </w:r>
          </w:p>
        </w:tc>
      </w:tr>
      <w:tr>
        <w:tc>
          <w:tcPr>
            <w:tcW w:type="dxa" w:w="42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22/2023/TT-NHNN → 41/2016/TT-NHNN → 46/2010/QH12</w:t>
            </w:r>
          </w:p>
        </w:tc>
        <w:tc>
          <w:tcPr>
            <w:tcW w:type="dxa" w:w="36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Thông tư sửa đổi thông tư khác; thông tư đó căn cứ Luật NHNN</w:t>
            </w:r>
          </w:p>
        </w:tc>
      </w:tr>
      <w:tr>
        <w:tc>
          <w:tcPr>
            <w:tcW w:type="dxa" w:w="42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43/2024/TT-NHNN → 01/2014/TT-NHNN → 46/2010/QH12</w:t>
            </w:r>
          </w:p>
        </w:tc>
        <w:tc>
          <w:tcPr>
            <w:tcW w:type="dxa" w:w="36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Chuỗi sửa đổi rồi dẫn về luật gốc</w:t>
            </w:r>
          </w:p>
        </w:tc>
      </w:tr>
    </w:tbl>
    <w:p>
      <w:pPr>
        <w:spacing w:after="120" w:line="276"/>
      </w:pPr>
      <w:r>
        <w:rPr>
          <w:rFonts w:ascii="Calibri" w:cs="Calibri" w:eastAsia="Calibri" w:hAnsi="Calibri"/>
          <w:color w:val="0B0B0B"/>
          <w:sz w:val="22"/>
          <w:szCs w:val="22"/>
        </w:rPr>
        <w:t xml:space="preserve">Ý nghĩa nghiệp vụ: khi một đạo luật gốc thay đổi, chỉ cần một truy vấn là truy ra được toàn bộ thông tư bị ảnh hưởng gián tiếp qua hai đến ba lớp quan hệ — việc mà tra cứu thủ công trên file danh mục phẳng gần như không làm được.</w:t>
      </w:r>
    </w:p>
    <w:p>
      <w:r>
        <w:br w:type="page"/>
      </w:r>
    </w:p>
    <w:p>
      <w:pPr>
        <w:pStyle w:val="Heading1"/>
        <w:spacing w:after="140" w:before="280"/>
      </w:pPr>
      <w:r>
        <w:rPr>
          <w:rFonts w:ascii="Calibri" w:cs="Calibri" w:eastAsia="Calibri" w:hAnsi="Calibri"/>
          <w:b/>
          <w:bCs/>
          <w:color w:val="0B0B0B"/>
          <w:sz w:val="30"/>
          <w:szCs w:val="30"/>
        </w:rPr>
        <w:t xml:space="preserve">4. Đối chiếu với các lỗi mà đề bài cảnh báo</w:t>
      </w:r>
    </w:p>
    <w:tbl>
      <w:tblPr>
        <w:tblW w:type="dxa" w:w="7800"/>
        <w:tblBorders>
          <w:top w:val="single" w:color="D8D7D2" w:sz="4"/>
          <w:left w:val="none"/>
          <w:bottom w:val="single" w:color="D8D7D2" w:sz="4"/>
          <w:right w:val="none"/>
          <w:insideH w:val="single" w:color="E7E6E1" w:sz="2"/>
          <w:insideV w:val="none"/>
        </w:tblBorders>
      </w:tblPr>
      <w:tblGrid>
        <w:gridCol w:w="2900"/>
        <w:gridCol w:w="4900"/>
      </w:tblGrid>
      <w:tr>
        <w:trPr>
          <w:tblHeader/>
        </w:trPr>
        <w:tc>
          <w:tcPr>
            <w:tcW w:type="dxa" w:w="2900"/>
            <w:shd w:fill="EDF3FB" w:color="auto" w:val="clear"/>
            <w:tcMar>
              <w:top w:type="dxa" w:w="60"/>
              <w:left w:type="dxa" w:w="110"/>
              <w:bottom w:type="dxa" w:w="60"/>
              <w:right w:type="dxa" w:w="110"/>
            </w:tcMar>
          </w:tcPr>
          <w:p>
            <w:pPr>
              <w:spacing w:after="0" w:line="240"/>
            </w:pPr>
            <w:r>
              <w:rPr>
                <w:rFonts w:ascii="Calibri" w:cs="Calibri" w:eastAsia="Calibri" w:hAnsi="Calibri"/>
                <w:b/>
                <w:bCs/>
                <w:color w:val="0B0B0B"/>
                <w:sz w:val="20"/>
                <w:szCs w:val="20"/>
              </w:rPr>
              <w:t xml:space="preserve">Lỗi cần tránh</w:t>
            </w:r>
          </w:p>
        </w:tc>
        <w:tc>
          <w:tcPr>
            <w:tcW w:type="dxa" w:w="4900"/>
            <w:shd w:fill="EDF3FB" w:color="auto" w:val="clear"/>
            <w:tcMar>
              <w:top w:type="dxa" w:w="60"/>
              <w:left w:type="dxa" w:w="110"/>
              <w:bottom w:type="dxa" w:w="60"/>
              <w:right w:type="dxa" w:w="110"/>
            </w:tcMar>
          </w:tcPr>
          <w:p>
            <w:pPr>
              <w:spacing w:after="0" w:line="240"/>
              <w:jc w:val="right"/>
            </w:pPr>
            <w:r>
              <w:rPr>
                <w:rFonts w:ascii="Calibri" w:cs="Calibri" w:eastAsia="Calibri" w:hAnsi="Calibri"/>
                <w:b/>
                <w:bCs/>
                <w:color w:val="0B0B0B"/>
                <w:sz w:val="20"/>
                <w:szCs w:val="20"/>
              </w:rPr>
              <w:t xml:space="preserve">Cách xử lý trong bài</w:t>
            </w:r>
          </w:p>
        </w:tc>
      </w:tr>
      <w:tr>
        <w:tc>
          <w:tcPr>
            <w:tcW w:type="dxa" w:w="29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Yêu cầu Agent làm toàn bộ bài một lần</w:t>
            </w:r>
          </w:p>
        </w:tc>
        <w:tc>
          <w:tcPr>
            <w:tcW w:type="dxa" w:w="49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Thực hiện tuần tự 9 bước, kiểm tra output từng bước trước khi đi tiếp</w:t>
            </w:r>
          </w:p>
        </w:tc>
      </w:tr>
      <w:tr>
        <w:tc>
          <w:tcPr>
            <w:tcW w:type="dxa" w:w="29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Gọi LLM trước khi kiểm tra dữ liệu</w:t>
            </w:r>
          </w:p>
        </w:tc>
        <w:tc>
          <w:tcPr>
            <w:tcW w:type="dxa" w:w="49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Bước 1 làm sạch và kiểm tra dữ liệu, Bước 2 dùng rule, LLM chỉ vào cuộc ở Bước 3</w:t>
            </w:r>
          </w:p>
        </w:tc>
      </w:tr>
      <w:tr>
        <w:tc>
          <w:tcPr>
            <w:tcW w:type="dxa" w:w="29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Ghi đè metadata gốc</w:t>
            </w:r>
          </w:p>
        </w:tc>
        <w:tc>
          <w:tcPr>
            <w:tcW w:type="dxa" w:w="49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metadata.csv và content.csv chỉ đọc, đối chiếu MD5 trước và sau; mọi kết quả sinh ra file mới</w:t>
            </w:r>
          </w:p>
        </w:tc>
      </w:tr>
      <w:tr>
        <w:tc>
          <w:tcPr>
            <w:tcW w:type="dxa" w:w="29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Tin confidence mà không xem evidence</w:t>
            </w:r>
          </w:p>
        </w:tc>
        <w:tc>
          <w:tcPr>
            <w:tcW w:type="dxa" w:w="49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Mọi thực thể phải có evidence khớp văn bản gốc mới được giữ; confidence dao động 0,5–1,0</w:t>
            </w:r>
          </w:p>
        </w:tc>
      </w:tr>
      <w:tr>
        <w:tc>
          <w:tcPr>
            <w:tcW w:type="dxa" w:w="29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Nhầm sửa đổi với thay thế</w:t>
            </w:r>
          </w:p>
        </w:tc>
        <w:tc>
          <w:tcPr>
            <w:tcW w:type="dxa" w:w="49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Đã phát hiện và sửa đúng một trường hợp (43/2024/TT-NHNN) — xem Bước 5</w:t>
            </w:r>
          </w:p>
        </w:tc>
      </w:tr>
      <w:tr>
        <w:tc>
          <w:tcPr>
            <w:tcW w:type="dxa" w:w="29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Import thẳng output chưa kiểm định</w:t>
            </w:r>
          </w:p>
        </w:tc>
        <w:tc>
          <w:tcPr>
            <w:tcW w:type="dxa" w:w="49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Bước 6 kiểm định, loại 79 quan hệ không đạt trước khi import</w:t>
            </w:r>
          </w:p>
        </w:tc>
      </w:tr>
      <w:tr>
        <w:tc>
          <w:tcPr>
            <w:tcW w:type="dxa" w:w="29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Tạo trùng lặp khi import lại</w:t>
            </w:r>
          </w:p>
        </w:tc>
        <w:tc>
          <w:tcPr>
            <w:tcW w:type="dxa" w:w="49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Dùng constraint + MERGE; đã chạy import hai lần để xác nhận</w:t>
            </w:r>
          </w:p>
        </w:tc>
      </w:tr>
    </w:tbl>
    <w:p>
      <w:pPr>
        <w:pStyle w:val="Heading1"/>
        <w:spacing w:after="140" w:before="280"/>
      </w:pPr>
      <w:r>
        <w:rPr>
          <w:rFonts w:ascii="Calibri" w:cs="Calibri" w:eastAsia="Calibri" w:hAnsi="Calibri"/>
          <w:b/>
          <w:bCs/>
          <w:color w:val="0B0B0B"/>
          <w:sz w:val="30"/>
          <w:szCs w:val="30"/>
        </w:rPr>
        <w:t xml:space="preserve">5. Hạn chế và ghi nhận trung thực</w:t>
      </w:r>
    </w:p>
    <w:p>
      <w:pPr>
        <w:spacing w:after="120" w:line="276"/>
      </w:pPr>
      <w:r>
        <w:rPr>
          <w:rFonts w:ascii="Calibri" w:cs="Calibri" w:eastAsia="Calibri" w:hAnsi="Calibri"/>
          <w:b/>
          <w:bCs/>
          <w:color w:val="0B0B0B"/>
          <w:sz w:val="22"/>
          <w:szCs w:val="22"/>
        </w:rPr>
        <w:t xml:space="preserve">Về việc gọi Gemini API ở Bước 3:</w:t>
      </w:r>
    </w:p>
    <w:p>
      <w:pPr>
        <w:spacing w:after="120" w:line="276"/>
      </w:pPr>
      <w:r>
        <w:rPr>
          <w:rFonts w:ascii="Calibri" w:cs="Calibri" w:eastAsia="Calibri" w:hAnsi="Calibri"/>
          <w:color w:val="0B0B0B"/>
          <w:sz w:val="22"/>
          <w:szCs w:val="22"/>
        </w:rPr>
        <w:t xml:space="preserve">Mã nguồn gọi Gemini đã được viết hoàn chỉnh với đầy đủ cơ chế an toàn (structured JSON output, xử lý lỗi API, lỗi response rỗng, lỗi JSON hỏng, một văn bản lỗi không làm dừng cả lô, không ghi log khóa API). Tuy nhiên hai lần chạy thực tế đều không thành công vì lý do nằm ngoài phạm vi bài thực hành:</w:t>
      </w:r>
    </w:p>
    <w:p>
      <w:pPr>
        <w:pStyle w:val="ListParagraph"/>
        <w:numPr>
          <w:ilvl w:val="0"/>
          <w:numId w:val="2"/>
        </w:numPr>
        <w:spacing w:after="80" w:line="276"/>
      </w:pPr>
      <w:r>
        <w:rPr>
          <w:rFonts w:ascii="Calibri" w:cs="Calibri" w:eastAsia="Calibri" w:hAnsi="Calibri"/>
          <w:color w:val="0B0B0B"/>
          <w:sz w:val="22"/>
          <w:szCs w:val="22"/>
        </w:rPr>
        <w:t xml:space="preserve">Lần thứ nhất, môi trường thực thi bị chặn kết nối ra ngoài tới máy chủ Gemini (lỗi mạng, không phải lỗi mã nguồn).</w:t>
      </w:r>
    </w:p>
    <w:p>
      <w:pPr>
        <w:pStyle w:val="ListParagraph"/>
        <w:numPr>
          <w:ilvl w:val="0"/>
          <w:numId w:val="2"/>
        </w:numPr>
        <w:spacing w:after="80" w:line="276"/>
      </w:pPr>
      <w:r>
        <w:rPr>
          <w:rFonts w:ascii="Calibri" w:cs="Calibri" w:eastAsia="Calibri" w:hAnsi="Calibri"/>
          <w:color w:val="0B0B0B"/>
          <w:sz w:val="22"/>
          <w:szCs w:val="22"/>
        </w:rPr>
        <w:t xml:space="preserve">Lần thứ hai, chạy trực tiếp trên máy có Internet: kết nối thành công, khóa API được Google nhận diện, nhưng máy chủ trả về lỗi 403 PERMISSION_DENIED cho toàn bộ 30 văn bản, với thông báo project Google Cloud gắn với khóa đang bị khóa quyền gọi API vì lý do thanh toán.</w:t>
      </w:r>
    </w:p>
    <w:p>
      <w:pPr>
        <w:spacing w:after="120" w:line="276"/>
      </w:pPr>
      <w:r>
        <w:rPr>
          <w:rFonts w:ascii="Calibri" w:cs="Calibri" w:eastAsia="Calibri" w:hAnsi="Calibri"/>
          <w:color w:val="0B0B0B"/>
          <w:sz w:val="22"/>
          <w:szCs w:val="22"/>
        </w:rPr>
        <w:t xml:space="preserve">Trong cả hai lần, cơ chế xử lý lỗi hoạt động đúng như thiết kế: không văn bản nào làm dừng chương trình, toàn bộ lỗi được ghi vào tệp nhật ký riêng, và 78 thực thể lấy từ metadata gốc vẫn được lưu bình thường.</w:t>
      </w:r>
    </w:p>
    <w:p>
      <w:pPr>
        <w:spacing w:after="120" w:line="276"/>
      </w:pPr>
      <w:r>
        <w:rPr>
          <w:rFonts w:ascii="Calibri" w:cs="Calibri" w:eastAsia="Calibri" w:hAnsi="Calibri"/>
          <w:color w:val="0B0B0B"/>
          <w:sz w:val="22"/>
          <w:szCs w:val="22"/>
        </w:rPr>
        <w:t xml:space="preserve">Để bài thực hành vẫn hoàn thành trọn vẹn, phần trích xuất thực thể ở Bước 3 được thực hiện bằng một mô hình ngôn ngữ lớn khác đọc trực tiếp từng văn bản, áp dụng đúng logic và đúng các ràng buộc an toàn đã thiết kế cho Gemini. Điều này được ghi nhận minh bạch ngay trong dữ liệu: cột method của các dòng liên quan mang giá trị "claude_llm" chứ không phải "gemini", để người đọc dữ liệu luôn biết chính xác nguồn gốc của từng thực thể.</w:t>
      </w:r>
    </w:p>
    <w:p>
      <w:pPr>
        <w:spacing w:after="120" w:line="276"/>
      </w:pPr>
      <w:r>
        <w:rPr>
          <w:rFonts w:ascii="Calibri" w:cs="Calibri" w:eastAsia="Calibri" w:hAnsi="Calibri"/>
          <w:b/>
          <w:bCs/>
          <w:color w:val="0B0B0B"/>
          <w:sz w:val="22"/>
          <w:szCs w:val="22"/>
        </w:rPr>
        <w:t xml:space="preserve">Các hạn chế khác:</w:t>
      </w:r>
    </w:p>
    <w:p>
      <w:pPr>
        <w:pStyle w:val="ListParagraph"/>
        <w:numPr>
          <w:ilvl w:val="0"/>
          <w:numId w:val="2"/>
        </w:numPr>
        <w:spacing w:after="80" w:line="276"/>
      </w:pPr>
      <w:r>
        <w:rPr>
          <w:rFonts w:ascii="Calibri" w:cs="Calibri" w:eastAsia="Calibri" w:hAnsi="Calibri"/>
          <w:color w:val="0B0B0B"/>
          <w:sz w:val="22"/>
          <w:szCs w:val="22"/>
        </w:rPr>
        <w:t xml:space="preserve">Tập dữ liệu chỉ gồm 30 văn bản nên đồ thị đóng; 79 quan hệ trỏ ra ngoài tập này bị loại, làm mất một phần bức tranh tham chiếu thực tế.</w:t>
      </w:r>
    </w:p>
    <w:p>
      <w:pPr>
        <w:pStyle w:val="ListParagraph"/>
        <w:numPr>
          <w:ilvl w:val="0"/>
          <w:numId w:val="2"/>
        </w:numPr>
        <w:spacing w:after="80" w:line="276"/>
      </w:pPr>
      <w:r>
        <w:rPr>
          <w:rFonts w:ascii="Calibri" w:cs="Calibri" w:eastAsia="Calibri" w:hAnsi="Calibri"/>
          <w:color w:val="0B0B0B"/>
          <w:sz w:val="22"/>
          <w:szCs w:val="22"/>
        </w:rPr>
        <w:t xml:space="preserve">Tình trạng hiệu lực của văn bản lấy nguyên từ metadata gốc, chưa được đối chiếu lại với nguồn công bố chính thức.</w:t>
      </w:r>
    </w:p>
    <w:p>
      <w:pPr>
        <w:pStyle w:val="ListParagraph"/>
        <w:numPr>
          <w:ilvl w:val="0"/>
          <w:numId w:val="2"/>
        </w:numPr>
        <w:spacing w:after="80" w:line="276"/>
      </w:pPr>
      <w:r>
        <w:rPr>
          <w:rFonts w:ascii="Calibri" w:cs="Calibri" w:eastAsia="Calibri" w:hAnsi="Calibri"/>
          <w:color w:val="0B0B0B"/>
          <w:sz w:val="22"/>
          <w:szCs w:val="22"/>
        </w:rPr>
        <w:t xml:space="preserve">Trường thong_tin_ap_dung rỗng hoàn toàn ở cả 30 văn bản nên không khai thác được.</w:t>
      </w:r>
    </w:p>
    <w:p>
      <w:pPr>
        <w:pStyle w:val="Heading1"/>
        <w:spacing w:after="140" w:before="280"/>
      </w:pPr>
      <w:r>
        <w:rPr>
          <w:rFonts w:ascii="Calibri" w:cs="Calibri" w:eastAsia="Calibri" w:hAnsi="Calibri"/>
          <w:b/>
          <w:bCs/>
          <w:color w:val="0B0B0B"/>
          <w:sz w:val="30"/>
          <w:szCs w:val="30"/>
        </w:rPr>
        <w:t xml:space="preserve">6. Kết luận</w:t>
      </w:r>
    </w:p>
    <w:p>
      <w:pPr>
        <w:spacing w:after="120" w:line="276"/>
      </w:pPr>
      <w:r>
        <w:rPr>
          <w:rFonts w:ascii="Calibri" w:cs="Calibri" w:eastAsia="Calibri" w:hAnsi="Calibri"/>
          <w:color w:val="0B0B0B"/>
          <w:sz w:val="22"/>
          <w:szCs w:val="22"/>
        </w:rPr>
        <w:t xml:space="preserve">Bài thực hành đã hoàn thành trọn vẹn 9 bước với toàn bộ output bắt buộc. Kết quả không chỉ là một đồ thị chạy được trên Neo4j, mà là một quy trình có kiểm soát chất lượng ở từng mắt xích: dữ liệu thô được kiểm tra trước khi làm sạch, rule chạy trước khi gọi mô hình ngôn ngữ, thực thể được chuẩn hóa trước khi tạo quan hệ, và quan hệ được kiểm định trước khi vào cơ sở dữ liệu.</w:t>
      </w:r>
    </w:p>
    <w:p>
      <w:pPr>
        <w:spacing w:after="120" w:line="276"/>
      </w:pPr>
      <w:r>
        <w:rPr>
          <w:rFonts w:ascii="Calibri" w:cs="Calibri" w:eastAsia="Calibri" w:hAnsi="Calibri"/>
          <w:color w:val="0B0B0B"/>
          <w:sz w:val="22"/>
          <w:szCs w:val="22"/>
        </w:rPr>
        <w:t xml:space="preserve">Ba lỗi thực chất đã được phát hiện và sửa trong quá trình làm — ghép nhầm candidate ở Bước 2, nhầm sửa đổi với thay thế ở Bước 5, và cú pháp giá trị rỗng ở Bước 8 — cho thấy giá trị của nguyên tắc kiểm tra output từng bước thay vì chạy một mạch.</w:t>
      </w:r>
    </w:p>
    <w:p>
      <w:pPr>
        <w:spacing w:after="120" w:line="276"/>
      </w:pPr>
      <w:r>
        <w:rPr>
          <w:rFonts w:ascii="Calibri" w:cs="Calibri" w:eastAsia="Calibri" w:hAnsi="Calibri"/>
          <w:color w:val="0B0B0B"/>
          <w:sz w:val="22"/>
          <w:szCs w:val="22"/>
        </w:rPr>
        <w:t xml:space="preserve">Bài học quan trọng nhất được rút ra đúng như định hướng của đề bài: mô hình ngôn ngữ lớn là công cụ hỗ trợ trích xuất và làm giàu dữ liệu, không phải nguồn sự thật cuối cùng của Knowledge Graph. Một đồ thị tri thức có giá trị sử dụng thật cần đủ năm yếu tố — trích xuất, chuẩn hóa, kiểm định, khả năng truy vết về bằng chứng, và lưu trữ dạng đồ thị.</w:t>
      </w:r>
    </w:p>
    <w:p>
      <w:pPr>
        <w:pStyle w:val="Heading1"/>
        <w:spacing w:after="140" w:before="280"/>
      </w:pPr>
      <w:r>
        <w:rPr>
          <w:rFonts w:ascii="Calibri" w:cs="Calibri" w:eastAsia="Calibri" w:hAnsi="Calibri"/>
          <w:b/>
          <w:bCs/>
          <w:color w:val="0B0B0B"/>
          <w:sz w:val="30"/>
          <w:szCs w:val="30"/>
        </w:rPr>
        <w:t xml:space="preserve">Phụ lục A. Danh mục tệp kết quả</w:t>
      </w:r>
    </w:p>
    <w:tbl>
      <w:tblPr>
        <w:tblW w:type="dxa" w:w="7800"/>
        <w:tblBorders>
          <w:top w:val="single" w:color="D8D7D2" w:sz="4"/>
          <w:left w:val="none"/>
          <w:bottom w:val="single" w:color="D8D7D2" w:sz="4"/>
          <w:right w:val="none"/>
          <w:insideH w:val="single" w:color="E7E6E1" w:sz="2"/>
          <w:insideV w:val="none"/>
        </w:tblBorders>
      </w:tblPr>
      <w:tblGrid>
        <w:gridCol w:w="3000"/>
        <w:gridCol w:w="4800"/>
      </w:tblGrid>
      <w:tr>
        <w:trPr>
          <w:tblHeader/>
        </w:trPr>
        <w:tc>
          <w:tcPr>
            <w:tcW w:type="dxa" w:w="3000"/>
            <w:shd w:fill="EDF3FB" w:color="auto" w:val="clear"/>
            <w:tcMar>
              <w:top w:type="dxa" w:w="60"/>
              <w:left w:type="dxa" w:w="110"/>
              <w:bottom w:type="dxa" w:w="60"/>
              <w:right w:type="dxa" w:w="110"/>
            </w:tcMar>
          </w:tcPr>
          <w:p>
            <w:pPr>
              <w:spacing w:after="0" w:line="240"/>
            </w:pPr>
            <w:r>
              <w:rPr>
                <w:rFonts w:ascii="Calibri" w:cs="Calibri" w:eastAsia="Calibri" w:hAnsi="Calibri"/>
                <w:b/>
                <w:bCs/>
                <w:color w:val="0B0B0B"/>
                <w:sz w:val="20"/>
                <w:szCs w:val="20"/>
              </w:rPr>
              <w:t xml:space="preserve">Tệp</w:t>
            </w:r>
          </w:p>
        </w:tc>
        <w:tc>
          <w:tcPr>
            <w:tcW w:type="dxa" w:w="4800"/>
            <w:shd w:fill="EDF3FB" w:color="auto" w:val="clear"/>
            <w:tcMar>
              <w:top w:type="dxa" w:w="60"/>
              <w:left w:type="dxa" w:w="110"/>
              <w:bottom w:type="dxa" w:w="60"/>
              <w:right w:type="dxa" w:w="110"/>
            </w:tcMar>
          </w:tcPr>
          <w:p>
            <w:pPr>
              <w:spacing w:after="0" w:line="240"/>
              <w:jc w:val="right"/>
            </w:pPr>
            <w:r>
              <w:rPr>
                <w:rFonts w:ascii="Calibri" w:cs="Calibri" w:eastAsia="Calibri" w:hAnsi="Calibri"/>
                <w:b/>
                <w:bCs/>
                <w:color w:val="0B0B0B"/>
                <w:sz w:val="20"/>
                <w:szCs w:val="20"/>
              </w:rPr>
              <w:t xml:space="preserve">Vai trò</w:t>
            </w:r>
          </w:p>
        </w:tc>
      </w:tr>
      <w:tr>
        <w:tc>
          <w:tcPr>
            <w:tcW w:type="dxa" w:w="30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metadata.csv</w:t>
            </w:r>
          </w:p>
        </w:tc>
        <w:tc>
          <w:tcPr>
            <w:tcW w:type="dxa" w:w="48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Dữ liệu gốc – không sửa</w:t>
            </w:r>
          </w:p>
        </w:tc>
      </w:tr>
      <w:tr>
        <w:tc>
          <w:tcPr>
            <w:tcW w:type="dxa" w:w="30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content.csv</w:t>
            </w:r>
          </w:p>
        </w:tc>
        <w:tc>
          <w:tcPr>
            <w:tcW w:type="dxa" w:w="48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Nội dung gốc – không sửa</w:t>
            </w:r>
          </w:p>
        </w:tc>
      </w:tr>
      <w:tr>
        <w:tc>
          <w:tcPr>
            <w:tcW w:type="dxa" w:w="30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cleaned_documents.csv</w:t>
            </w:r>
          </w:p>
        </w:tc>
        <w:tc>
          <w:tcPr>
            <w:tcW w:type="dxa" w:w="48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Dữ liệu đã ghép và làm sạch (30 dòng)</w:t>
            </w:r>
          </w:p>
        </w:tc>
      </w:tr>
      <w:tr>
        <w:tc>
          <w:tcPr>
            <w:tcW w:type="dxa" w:w="30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relation_candidates.csv</w:t>
            </w:r>
          </w:p>
        </w:tc>
        <w:tc>
          <w:tcPr>
            <w:tcW w:type="dxa" w:w="48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Candidate từ rule (110 dòng)</w:t>
            </w:r>
          </w:p>
        </w:tc>
      </w:tr>
      <w:tr>
        <w:tc>
          <w:tcPr>
            <w:tcW w:type="dxa" w:w="30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extracted_entities_raw.csv</w:t>
            </w:r>
          </w:p>
        </w:tc>
        <w:tc>
          <w:tcPr>
            <w:tcW w:type="dxa" w:w="48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Thực thể chưa chuẩn hóa (200 dòng)</w:t>
            </w:r>
          </w:p>
        </w:tc>
      </w:tr>
      <w:tr>
        <w:tc>
          <w:tcPr>
            <w:tcW w:type="dxa" w:w="30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enriched_metadata.csv</w:t>
            </w:r>
          </w:p>
        </w:tc>
        <w:tc>
          <w:tcPr>
            <w:tcW w:type="dxa" w:w="48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Metadata sau khi làm giàu (30 dòng)</w:t>
            </w:r>
          </w:p>
        </w:tc>
      </w:tr>
      <w:tr>
        <w:tc>
          <w:tcPr>
            <w:tcW w:type="dxa" w:w="30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entities.csv</w:t>
            </w:r>
          </w:p>
        </w:tc>
        <w:tc>
          <w:tcPr>
            <w:tcW w:type="dxa" w:w="48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Thực thể canonical đã chuẩn hóa (203 dòng, 129 thực thể duy nhất)</w:t>
            </w:r>
          </w:p>
        </w:tc>
      </w:tr>
      <w:tr>
        <w:tc>
          <w:tcPr>
            <w:tcW w:type="dxa" w:w="30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relationships_raw.csv</w:t>
            </w:r>
          </w:p>
        </w:tc>
        <w:tc>
          <w:tcPr>
            <w:tcW w:type="dxa" w:w="48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Quan hệ trước kiểm định (305 dòng)</w:t>
            </w:r>
          </w:p>
        </w:tc>
      </w:tr>
      <w:tr>
        <w:tc>
          <w:tcPr>
            <w:tcW w:type="dxa" w:w="30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relationships.csv</w:t>
            </w:r>
          </w:p>
        </w:tc>
        <w:tc>
          <w:tcPr>
            <w:tcW w:type="dxa" w:w="48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Quan hệ chính thức sau kiểm định (226 dòng)</w:t>
            </w:r>
          </w:p>
        </w:tc>
      </w:tr>
      <w:tr>
        <w:tc>
          <w:tcPr>
            <w:tcW w:type="dxa" w:w="30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validation_report.csv</w:t>
            </w:r>
          </w:p>
        </w:tc>
        <w:tc>
          <w:tcPr>
            <w:tcW w:type="dxa" w:w="48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Báo cáo kiểm định đầy đủ (305 dòng, kèm lý do loại)</w:t>
            </w:r>
          </w:p>
        </w:tc>
      </w:tr>
      <w:tr>
        <w:tc>
          <w:tcPr>
            <w:tcW w:type="dxa" w:w="30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cypher/import_neo4j_all.cypher</w:t>
            </w:r>
          </w:p>
        </w:tc>
        <w:tc>
          <w:tcPr>
            <w:tcW w:type="dxa" w:w="48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Script import Neo4j (idempotent)</w:t>
            </w:r>
          </w:p>
        </w:tc>
      </w:tr>
      <w:tr>
        <w:tc>
          <w:tcPr>
            <w:tcW w:type="dxa" w:w="30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cypher/09_query_kiem_tra.cypher</w:t>
            </w:r>
          </w:p>
        </w:tc>
        <w:tc>
          <w:tcPr>
            <w:tcW w:type="dxa" w:w="48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Bộ truy vấn kiểm tra và trực quan hóa</w:t>
            </w:r>
          </w:p>
        </w:tc>
      </w:tr>
    </w:tbl>
    <w:p>
      <w:pPr>
        <w:pStyle w:val="Heading1"/>
        <w:spacing w:after="140" w:before="280"/>
      </w:pPr>
      <w:r>
        <w:rPr>
          <w:rFonts w:ascii="Calibri" w:cs="Calibri" w:eastAsia="Calibri" w:hAnsi="Calibri"/>
          <w:b/>
          <w:bCs/>
          <w:color w:val="0B0B0B"/>
          <w:sz w:val="30"/>
          <w:szCs w:val="30"/>
        </w:rPr>
        <w:t xml:space="preserve">Phụ lục B. Lược đồ đồ thị</w:t>
      </w:r>
    </w:p>
    <w:tbl>
      <w:tblPr>
        <w:tblW w:type="dxa" w:w="7800"/>
        <w:tblBorders>
          <w:top w:val="single" w:color="D8D7D2" w:sz="4"/>
          <w:left w:val="none"/>
          <w:bottom w:val="single" w:color="D8D7D2" w:sz="4"/>
          <w:right w:val="none"/>
          <w:insideH w:val="single" w:color="E7E6E1" w:sz="2"/>
          <w:insideV w:val="none"/>
        </w:tblBorders>
      </w:tblPr>
      <w:tblGrid>
        <w:gridCol w:w="2100"/>
        <w:gridCol w:w="1500"/>
        <w:gridCol w:w="1700"/>
        <w:gridCol w:w="2500"/>
      </w:tblGrid>
      <w:tr>
        <w:trPr>
          <w:tblHeader/>
        </w:trPr>
        <w:tc>
          <w:tcPr>
            <w:tcW w:type="dxa" w:w="2100"/>
            <w:shd w:fill="EDF3FB" w:color="auto" w:val="clear"/>
            <w:tcMar>
              <w:top w:type="dxa" w:w="60"/>
              <w:left w:type="dxa" w:w="110"/>
              <w:bottom w:type="dxa" w:w="60"/>
              <w:right w:type="dxa" w:w="110"/>
            </w:tcMar>
          </w:tcPr>
          <w:p>
            <w:pPr>
              <w:spacing w:after="0" w:line="240"/>
            </w:pPr>
            <w:r>
              <w:rPr>
                <w:rFonts w:ascii="Calibri" w:cs="Calibri" w:eastAsia="Calibri" w:hAnsi="Calibri"/>
                <w:b/>
                <w:bCs/>
                <w:color w:val="0B0B0B"/>
                <w:sz w:val="20"/>
                <w:szCs w:val="20"/>
              </w:rPr>
              <w:t xml:space="preserve">Quan hệ</w:t>
            </w:r>
          </w:p>
        </w:tc>
        <w:tc>
          <w:tcPr>
            <w:tcW w:type="dxa" w:w="1500"/>
            <w:shd w:fill="EDF3FB" w:color="auto" w:val="clear"/>
            <w:tcMar>
              <w:top w:type="dxa" w:w="60"/>
              <w:left w:type="dxa" w:w="110"/>
              <w:bottom w:type="dxa" w:w="60"/>
              <w:right w:type="dxa" w:w="110"/>
            </w:tcMar>
          </w:tcPr>
          <w:p>
            <w:pPr>
              <w:spacing w:after="0" w:line="240"/>
              <w:jc w:val="right"/>
            </w:pPr>
            <w:r>
              <w:rPr>
                <w:rFonts w:ascii="Calibri" w:cs="Calibri" w:eastAsia="Calibri" w:hAnsi="Calibri"/>
                <w:b/>
                <w:bCs/>
                <w:color w:val="0B0B0B"/>
                <w:sz w:val="20"/>
                <w:szCs w:val="20"/>
              </w:rPr>
              <w:t xml:space="preserve">Từ</w:t>
            </w:r>
          </w:p>
        </w:tc>
        <w:tc>
          <w:tcPr>
            <w:tcW w:type="dxa" w:w="1700"/>
            <w:shd w:fill="EDF3FB" w:color="auto" w:val="clear"/>
            <w:tcMar>
              <w:top w:type="dxa" w:w="60"/>
              <w:left w:type="dxa" w:w="110"/>
              <w:bottom w:type="dxa" w:w="60"/>
              <w:right w:type="dxa" w:w="110"/>
            </w:tcMar>
          </w:tcPr>
          <w:p>
            <w:pPr>
              <w:spacing w:after="0" w:line="240"/>
              <w:jc w:val="right"/>
            </w:pPr>
            <w:r>
              <w:rPr>
                <w:rFonts w:ascii="Calibri" w:cs="Calibri" w:eastAsia="Calibri" w:hAnsi="Calibri"/>
                <w:b/>
                <w:bCs/>
                <w:color w:val="0B0B0B"/>
                <w:sz w:val="20"/>
                <w:szCs w:val="20"/>
              </w:rPr>
              <w:t xml:space="preserve">Đến</w:t>
            </w:r>
          </w:p>
        </w:tc>
        <w:tc>
          <w:tcPr>
            <w:tcW w:type="dxa" w:w="2500"/>
            <w:shd w:fill="EDF3FB" w:color="auto" w:val="clear"/>
            <w:tcMar>
              <w:top w:type="dxa" w:w="60"/>
              <w:left w:type="dxa" w:w="110"/>
              <w:bottom w:type="dxa" w:w="60"/>
              <w:right w:type="dxa" w:w="110"/>
            </w:tcMar>
          </w:tcPr>
          <w:p>
            <w:pPr>
              <w:spacing w:after="0" w:line="240"/>
              <w:jc w:val="right"/>
            </w:pPr>
            <w:r>
              <w:rPr>
                <w:rFonts w:ascii="Calibri" w:cs="Calibri" w:eastAsia="Calibri" w:hAnsi="Calibri"/>
                <w:b/>
                <w:bCs/>
                <w:color w:val="0B0B0B"/>
                <w:sz w:val="20"/>
                <w:szCs w:val="20"/>
              </w:rPr>
              <w:t xml:space="preserve">Ý nghĩa</w:t>
            </w:r>
          </w:p>
        </w:tc>
      </w:tr>
      <w:tr>
        <w:tc>
          <w:tcPr>
            <w:tcW w:type="dxa" w:w="21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BAN_HANH_BOI</w:t>
            </w:r>
          </w:p>
        </w:tc>
        <w:tc>
          <w:tcPr>
            <w:tcW w:type="dxa" w:w="15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Document</w:t>
            </w:r>
          </w:p>
        </w:tc>
        <w:tc>
          <w:tcPr>
            <w:tcW w:type="dxa" w:w="17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CoQuan</w:t>
            </w:r>
          </w:p>
        </w:tc>
        <w:tc>
          <w:tcPr>
            <w:tcW w:type="dxa" w:w="25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Văn bản do cơ quan nào ban hành</w:t>
            </w:r>
          </w:p>
        </w:tc>
      </w:tr>
      <w:tr>
        <w:tc>
          <w:tcPr>
            <w:tcW w:type="dxa" w:w="21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KY_BOI</w:t>
            </w:r>
          </w:p>
        </w:tc>
        <w:tc>
          <w:tcPr>
            <w:tcW w:type="dxa" w:w="15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Document</w:t>
            </w:r>
          </w:p>
        </w:tc>
        <w:tc>
          <w:tcPr>
            <w:tcW w:type="dxa" w:w="17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NguoiKy</w:t>
            </w:r>
          </w:p>
        </w:tc>
        <w:tc>
          <w:tcPr>
            <w:tcW w:type="dxa" w:w="25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Văn bản do ai ký</w:t>
            </w:r>
          </w:p>
        </w:tc>
      </w:tr>
      <w:tr>
        <w:tc>
          <w:tcPr>
            <w:tcW w:type="dxa" w:w="21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AP_DUNG_CHO</w:t>
            </w:r>
          </w:p>
        </w:tc>
        <w:tc>
          <w:tcPr>
            <w:tcW w:type="dxa" w:w="15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Document</w:t>
            </w:r>
          </w:p>
        </w:tc>
        <w:tc>
          <w:tcPr>
            <w:tcW w:type="dxa" w:w="17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DoiTuongApDung</w:t>
            </w:r>
          </w:p>
        </w:tc>
        <w:tc>
          <w:tcPr>
            <w:tcW w:type="dxa" w:w="25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Văn bản điều chỉnh đối tượng nào</w:t>
            </w:r>
          </w:p>
        </w:tc>
      </w:tr>
      <w:tr>
        <w:tc>
          <w:tcPr>
            <w:tcW w:type="dxa" w:w="21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THUOC_LINH_VUC</w:t>
            </w:r>
          </w:p>
        </w:tc>
        <w:tc>
          <w:tcPr>
            <w:tcW w:type="dxa" w:w="15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Document</w:t>
            </w:r>
          </w:p>
        </w:tc>
        <w:tc>
          <w:tcPr>
            <w:tcW w:type="dxa" w:w="17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LinhVuc</w:t>
            </w:r>
          </w:p>
        </w:tc>
        <w:tc>
          <w:tcPr>
            <w:tcW w:type="dxa" w:w="25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Văn bản thuộc lĩnh vực nào</w:t>
            </w:r>
          </w:p>
        </w:tc>
      </w:tr>
      <w:tr>
        <w:tc>
          <w:tcPr>
            <w:tcW w:type="dxa" w:w="21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THAM_CHIEU</w:t>
            </w:r>
          </w:p>
        </w:tc>
        <w:tc>
          <w:tcPr>
            <w:tcW w:type="dxa" w:w="15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Document</w:t>
            </w:r>
          </w:p>
        </w:tc>
        <w:tc>
          <w:tcPr>
            <w:tcW w:type="dxa" w:w="17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Document</w:t>
            </w:r>
          </w:p>
        </w:tc>
        <w:tc>
          <w:tcPr>
            <w:tcW w:type="dxa" w:w="25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A căn cứ hoặc viện dẫn B</w:t>
            </w:r>
          </w:p>
        </w:tc>
      </w:tr>
      <w:tr>
        <w:tc>
          <w:tcPr>
            <w:tcW w:type="dxa" w:w="2100"/>
            <w:shd w:fill="F7F7F5" w:color="auto" w:val="clear"/>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SUA_DOI_BO_SUNG</w:t>
            </w:r>
          </w:p>
        </w:tc>
        <w:tc>
          <w:tcPr>
            <w:tcW w:type="dxa" w:w="15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Document</w:t>
            </w:r>
          </w:p>
        </w:tc>
        <w:tc>
          <w:tcPr>
            <w:tcW w:type="dxa" w:w="17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Document</w:t>
            </w:r>
          </w:p>
        </w:tc>
        <w:tc>
          <w:tcPr>
            <w:tcW w:type="dxa" w:w="2500"/>
            <w:shd w:fill="F7F7F5" w:color="auto" w:val="clear"/>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A sửa đổi, bổ sung một phần của B</w:t>
            </w:r>
          </w:p>
        </w:tc>
      </w:tr>
      <w:tr>
        <w:tc>
          <w:tcPr>
            <w:tcW w:type="dxa" w:w="2100"/>
            <w:tcMar>
              <w:top w:type="dxa" w:w="60"/>
              <w:left w:type="dxa" w:w="110"/>
              <w:bottom w:type="dxa" w:w="60"/>
              <w:right w:type="dxa" w:w="110"/>
            </w:tcMar>
          </w:tcPr>
          <w:p>
            <w:pPr>
              <w:spacing w:after="0" w:line="240"/>
            </w:pPr>
            <w:r>
              <w:rPr>
                <w:rFonts w:ascii="Calibri" w:cs="Calibri" w:eastAsia="Calibri" w:hAnsi="Calibri"/>
                <w:b w:val="false"/>
                <w:bCs w:val="false"/>
                <w:color w:val="0B0B0B"/>
                <w:sz w:val="20"/>
                <w:szCs w:val="20"/>
              </w:rPr>
              <w:t xml:space="preserve">THAY_THE_BOI</w:t>
            </w:r>
          </w:p>
        </w:tc>
        <w:tc>
          <w:tcPr>
            <w:tcW w:type="dxa" w:w="15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Document</w:t>
            </w:r>
          </w:p>
        </w:tc>
        <w:tc>
          <w:tcPr>
            <w:tcW w:type="dxa" w:w="17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Document</w:t>
            </w:r>
          </w:p>
        </w:tc>
        <w:tc>
          <w:tcPr>
            <w:tcW w:type="dxa" w:w="2500"/>
            <w:tcMar>
              <w:top w:type="dxa" w:w="60"/>
              <w:left w:type="dxa" w:w="110"/>
              <w:bottom w:type="dxa" w:w="60"/>
              <w:right w:type="dxa" w:w="110"/>
            </w:tcMar>
          </w:tcPr>
          <w:p>
            <w:pPr>
              <w:spacing w:after="0" w:line="240"/>
              <w:jc w:val="right"/>
            </w:pPr>
            <w:r>
              <w:rPr>
                <w:rFonts w:ascii="Calibri" w:cs="Calibri" w:eastAsia="Calibri" w:hAnsi="Calibri"/>
                <w:b w:val="false"/>
                <w:bCs w:val="false"/>
                <w:color w:val="0B0B0B"/>
                <w:sz w:val="20"/>
                <w:szCs w:val="20"/>
              </w:rPr>
              <w:t xml:space="preserve">A là văn bản cũ, B là văn bản mới thay thế A</w:t>
            </w:r>
          </w:p>
        </w:tc>
      </w:tr>
    </w:tbl>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A66"/>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0e9cb94e7a6b1188dd9e452c42d0e092e609b85.png"/><Relationship Id="rId9" Type="http://schemas.openxmlformats.org/officeDocument/2006/relationships/image" Target="media/72a76cd0eb3650fdfbc7bda62f7db7ef0f66681c.png"/><Relationship Id="rId10" Type="http://schemas.openxmlformats.org/officeDocument/2006/relationships/image" Target="media/d156839d2019883bc6d1fc30b480f3aaddc09c54.png"/><Relationship Id="rId11" Type="http://schemas.openxmlformats.org/officeDocument/2006/relationships/image" Target="media/acd1cf0ab9dd96d0109a8014eec65d7e51a5173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2026-08-14T14:15:22.321Z</dcterms:created>
  <dcterms:modified xsi:type="dcterms:W3CDTF">2026-08-14T14:15:22.322Z</dcterms:modified>
</cp:coreProperties>
</file>

<file path=docProps/custom.xml><?xml version="1.0" encoding="utf-8"?>
<Properties xmlns="http://schemas.openxmlformats.org/officeDocument/2006/custom-properties" xmlns:vt="http://schemas.openxmlformats.org/officeDocument/2006/docPropsVTypes"/>
</file>