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032"/>
              <w:left w:type="dxa" w:w="2304"/>
              <w:bottom w:type="dxa" w:w="4032"/>
              <w:right w:type="dxa" w:w="2304"/>
            </w:tcMar>
          </w:tcPr>
          <w:p>
            <w:pPr>
              <w:spacing w:after="160" w:before="0"/>
              <w:jc w:val="center"/>
            </w:pPr>
            <w:r>
              <w:drawing>
                <wp:inline distT="0" distB="0" distL="0" distR="0">
                  <wp:extent cx="3048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00100"/>
                          </a:xfrm>
                          <a:prstGeom prst="rect">
                            <a:avLst/>
                          </a:prstGeom>
                        </pic:spPr>
                      </pic:pic>
                    </a:graphicData>
                  </a:graphic>
                </wp:inline>
              </w:drawing>
            </w:r>
          </w:p>
          <w:p>
            <w:pPr>
              <w:spacing w:after="240" w:before="0"/>
              <w:jc w:val="center"/>
            </w:pPr>
            <w:r>
              <w:rPr>
                <w:rFonts w:ascii="Calibri" w:cs="Calibri" w:eastAsia="Calibri" w:hAnsi="Calibri"/>
                <w:b w:val="false"/>
                <w:bCs w:val="false"/>
                <w:i w:val="false"/>
                <w:iCs w:val="false"/>
                <w:color w:val="2A7A7A"/>
                <w:sz w:val="28"/>
                <w:szCs w:val="28"/>
              </w:rPr>
              <w:t xml:space="preserve">─────────────────────────────</w:t>
            </w:r>
          </w:p>
          <w:p>
            <w:pPr>
              <w:spacing w:after="160" w:before="0"/>
              <w:jc w:val="center"/>
            </w:pPr>
            <w:r>
              <w:rPr>
                <w:rFonts w:ascii="Calibri" w:cs="Calibri" w:eastAsia="Calibri" w:hAnsi="Calibri"/>
                <w:b w:val="false"/>
                <w:bCs w:val="false"/>
                <w:i w:val="false"/>
                <w:iCs w:val="false"/>
                <w:color w:val="D0E8E8"/>
                <w:sz w:val="36"/>
                <w:szCs w:val="36"/>
              </w:rPr>
              <w:t xml:space="preserve">Identity Charter</w:t>
            </w:r>
          </w:p>
          <w:p>
            <w:pPr>
              <w:spacing w:after="40" w:before="40"/>
            </w:pPr>
          </w:p>
          <w:p>
            <w:pPr>
              <w:spacing w:after="40" w:before="40"/>
            </w:pPr>
          </w:p>
          <w:p>
            <w:pPr>
              <w:spacing w:after="200" w:before="0"/>
              <w:jc w:val="center"/>
            </w:pPr>
            <w:r>
              <w:rPr>
                <w:rFonts w:ascii="Calibri" w:cs="Calibri" w:eastAsia="Calibri" w:hAnsi="Calibri"/>
                <w:b w:val="false"/>
                <w:bCs w:val="false"/>
                <w:i w:val="false"/>
                <w:iCs w:val="false"/>
                <w:color w:val="2A7A7A"/>
                <w:sz w:val="22"/>
                <w:szCs w:val="22"/>
              </w:rPr>
              <w:t xml:space="preserve">─────────────────────────────</w:t>
            </w:r>
          </w:p>
          <w:p>
            <w:pPr>
              <w:spacing w:after="120" w:before="0"/>
              <w:jc w:val="center"/>
            </w:pPr>
            <w:r>
              <w:rPr>
                <w:rFonts w:ascii="Calibri" w:cs="Calibri" w:eastAsia="Calibri" w:hAnsi="Calibri"/>
                <w:b w:val="false"/>
                <w:bCs w:val="false"/>
                <w:i w:val="false"/>
                <w:iCs w:val="false"/>
                <w:color w:val="A0C4C4"/>
                <w:sz w:val="22"/>
                <w:szCs w:val="22"/>
              </w:rPr>
              <w:t xml:space="preserve">The Promise Made  ·  The Promise Kept</w:t>
            </w:r>
          </w:p>
          <w:p>
            <w:pPr>
              <w:spacing w:after="40" w:before="40"/>
            </w:pPr>
          </w:p>
          <w:p>
            <w:pPr>
              <w:spacing w:after="40" w:before="40"/>
            </w:pPr>
          </w:p>
          <w:p>
            <w:pPr>
              <w:spacing w:after="40" w:before="40"/>
            </w:pPr>
          </w:p>
          <w:p>
            <w:pPr>
              <w:spacing w:after="0" w:before="0"/>
              <w:jc w:val="center"/>
            </w:pPr>
            <w:r>
              <w:rPr>
                <w:rFonts w:ascii="Calibri" w:cs="Calibri" w:eastAsia="Calibri" w:hAnsi="Calibri"/>
                <w:b w:val="false"/>
                <w:bCs w:val="false"/>
                <w:i/>
                <w:iCs/>
                <w:color w:val="708090"/>
                <w:sz w:val="20"/>
                <w:szCs w:val="20"/>
              </w:rPr>
              <w:t xml:space="preserve">An identity built on permanence has no need to announce itself.</w:t>
            </w:r>
          </w:p>
        </w:tc>
      </w:tr>
    </w:tbl>
    <w:p>
      <w:pPr>
        <w:sectPr>
          <w:pgSz w:w="12240" w:h="15840" w:orient="portrait"/>
          <w:pgMar w:top="0" w:right="0" w:bottom="0" w:left="0" w:header="708" w:footer="708" w:gutter="0"/>
          <w:pgNumType/>
          <w:docGrid w:linePitch="360"/>
        </w:sectPr>
      </w:pPr>
    </w:p>
    <w:p>
      <w:pPr>
        <w:spacing w:after="40" w:before="40"/>
      </w:pPr>
    </w:p>
    <w:p>
      <w:pPr>
        <w:spacing w:after="60" w:before="60"/>
      </w:pPr>
      <w:r>
        <w:rPr>
          <w:rFonts w:ascii="Calibri" w:cs="Calibri" w:eastAsia="Calibri" w:hAnsi="Calibri"/>
          <w:color w:val="4A5568"/>
          <w:sz w:val="22"/>
          <w:szCs w:val="22"/>
        </w:rPr>
        <w:t xml:space="preserve">LifeBook exists to preserve what matters most. Its visual identity exists to embody that purpose — not to announce it.</w:t>
      </w:r>
    </w:p>
    <w:p>
      <w:pPr>
        <w:spacing w:after="40" w:before="40"/>
      </w:pPr>
    </w:p>
    <w:p>
      <w:pPr>
        <w:spacing w:after="60" w:before="60"/>
      </w:pPr>
      <w:r>
        <w:rPr>
          <w:rFonts w:ascii="Calibri" w:cs="Calibri" w:eastAsia="Calibri" w:hAnsi="Calibri"/>
          <w:color w:val="4A5568"/>
          <w:sz w:val="22"/>
          <w:szCs w:val="22"/>
        </w:rPr>
        <w:t xml:space="preserve">This Charter describes the principles that govern LifeBook’s visual identity. It does not describe executions, measurements, or specifications. Those belong to the LifeBook Identity Standards. What this Charter describes is the philosophy behind the identity — a philosophy intended to remain unchanged even as everything else evolves.</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STEWARDSHIP OVER BRANDING</w:t>
      </w:r>
    </w:p>
    <w:p>
      <w:pPr>
        <w:spacing w:after="40" w:before="40"/>
      </w:pPr>
    </w:p>
    <w:p>
      <w:pPr>
        <w:spacing w:after="60" w:before="60"/>
      </w:pPr>
      <w:r>
        <w:rPr>
          <w:rFonts w:ascii="Calibri" w:cs="Calibri" w:eastAsia="Calibri" w:hAnsi="Calibri"/>
          <w:color w:val="4A5568"/>
          <w:sz w:val="22"/>
          <w:szCs w:val="22"/>
        </w:rPr>
        <w:t xml:space="preserve">LifeBook’s identity is built on stewardship, not brand awareness. Where most identities seek to be recognized, LifeBook’s identity seeks to be trusted. Where most identities grow more prominent as companies grow, LifeBook’s identity should become quieter.</w:t>
      </w:r>
    </w:p>
    <w:p>
      <w:pPr>
        <w:spacing w:after="40" w:before="40"/>
      </w:pPr>
    </w:p>
    <w:p>
      <w:pPr>
        <w:spacing w:after="60" w:before="60"/>
      </w:pPr>
      <w:r>
        <w:rPr>
          <w:rFonts w:ascii="Calibri" w:cs="Calibri" w:eastAsia="Calibri" w:hAnsi="Calibri"/>
          <w:i/>
          <w:iCs/>
          <w:color w:val="1A2E4A"/>
          <w:sz w:val="22"/>
          <w:szCs w:val="22"/>
        </w:rPr>
        <w:t xml:space="preserve">An identity built on permanence has no need to announce itself.</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HUMAN DIGNITY AS THE FOUNDATION</w:t>
      </w:r>
    </w:p>
    <w:p>
      <w:pPr>
        <w:spacing w:after="40" w:before="40"/>
      </w:pPr>
    </w:p>
    <w:p>
      <w:pPr>
        <w:spacing w:after="60" w:before="60"/>
      </w:pPr>
      <w:r>
        <w:rPr>
          <w:rFonts w:ascii="Calibri" w:cs="Calibri" w:eastAsia="Calibri" w:hAnsi="Calibri"/>
          <w:color w:val="4A5568"/>
          <w:sz w:val="22"/>
          <w:szCs w:val="22"/>
        </w:rPr>
        <w:t xml:space="preserve">Every visual decision made under this Charter begins with the same question: does this decision honour the dignity of the person whose life is being preserved?</w:t>
      </w:r>
    </w:p>
    <w:p>
      <w:pPr>
        <w:spacing w:after="40" w:before="40"/>
      </w:pPr>
    </w:p>
    <w:p>
      <w:pPr>
        <w:spacing w:after="60" w:before="60"/>
      </w:pPr>
      <w:r>
        <w:rPr>
          <w:rFonts w:ascii="Calibri" w:cs="Calibri" w:eastAsia="Calibri" w:hAnsi="Calibri"/>
          <w:i/>
          <w:iCs/>
          <w:color w:val="1A2E4A"/>
          <w:sz w:val="22"/>
          <w:szCs w:val="22"/>
        </w:rPr>
        <w:t xml:space="preserve">If the answer is no, the decision is wrong — regardless of its aesthetic merit.</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THE TWO MARKS</w:t>
      </w:r>
    </w:p>
    <w:p>
      <w:pPr>
        <w:spacing w:after="40" w:before="40"/>
      </w:pPr>
    </w:p>
    <w:p>
      <w:pPr>
        <w:spacing w:after="60" w:before="60"/>
      </w:pPr>
      <w:r>
        <w:rPr>
          <w:rFonts w:ascii="Calibri" w:cs="Calibri" w:eastAsia="Calibri" w:hAnsi="Calibri"/>
          <w:color w:val="4A5568"/>
          <w:sz w:val="22"/>
          <w:szCs w:val="22"/>
        </w:rPr>
        <w:t xml:space="preserve">LifeBook has only two marks.</w:t>
      </w:r>
    </w:p>
    <w:p>
      <w:pPr>
        <w:spacing w:after="40" w:before="40"/>
      </w:pPr>
    </w:p>
    <w:p>
      <w:pPr>
        <w:spacing w:after="60" w:before="60"/>
      </w:pPr>
      <w:r>
        <w:rPr>
          <w:rFonts w:ascii="Calibri" w:cs="Calibri" w:eastAsia="Calibri" w:hAnsi="Calibri"/>
          <w:color w:val="4A5568"/>
          <w:sz w:val="22"/>
          <w:szCs w:val="22"/>
        </w:rPr>
        <w:t xml:space="preserve">The Steward’s Mark — a single filled circle — represents a promise made. It is the mark of one person, one life, one story, and one beginning. It is intentionally anonymous. It carries no cultural, demographic, or religious symbolism. It does not represent LifeBook. It represents the person whose life LifeBook has been entrusted to preserve.</w:t>
      </w:r>
    </w:p>
    <w:p>
      <w:pPr>
        <w:spacing w:after="40" w:before="40"/>
      </w:pPr>
    </w:p>
    <w:p>
      <w:pPr>
        <w:spacing w:after="60" w:before="60"/>
      </w:pPr>
      <w:r>
        <w:rPr>
          <w:rFonts w:ascii="Calibri" w:cs="Calibri" w:eastAsia="Calibri" w:hAnsi="Calibri"/>
          <w:color w:val="4A5568"/>
          <w:sz w:val="22"/>
          <w:szCs w:val="22"/>
        </w:rPr>
        <w:t xml:space="preserve">The Stewardship Mark — two filled circles connected by a short horizontal line, separated by a small optical gap at each end — represents a promise kept. It is the mark of two complete people in relationship. The circles remain dominant. The line is intentionally short, and it belongs to neither circle. The optical gap at each end is intentional: the relationship exists between two complete people rather than becoming part of either person.</w:t>
      </w:r>
    </w:p>
    <w:p>
      <w:pPr>
        <w:spacing w:after="40" w:before="40"/>
      </w:pPr>
    </w:p>
    <w:p>
      <w:pPr>
        <w:spacing w:after="60" w:before="60"/>
      </w:pPr>
      <w:r>
        <w:rPr>
          <w:rFonts w:ascii="Calibri" w:cs="Calibri" w:eastAsia="Calibri" w:hAnsi="Calibri"/>
          <w:i/>
          <w:iCs/>
          <w:color w:val="1A2E4A"/>
          <w:sz w:val="22"/>
          <w:szCs w:val="22"/>
        </w:rPr>
        <w:t xml:space="preserve">The circles should remain close enough that the connection is immediate, but never so close that they become a single constructed symbol. The relationship connects the individuals. It does not redefine them.</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THE PROMISE MADE AND THE PROMISE KEPT</w:t>
      </w:r>
    </w:p>
    <w:p>
      <w:pPr>
        <w:spacing w:after="40" w:before="4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shd w:fill="EBF4F4" w:val="clear"/>
            <w:tcMar>
              <w:top w:type="dxa" w:w="180"/>
              <w:left w:type="dxa" w:w="280"/>
              <w:bottom w:type="dxa" w:w="180"/>
              <w:right w:type="dxa" w:w="280"/>
            </w:tcMar>
          </w:tcPr>
          <w:p>
            <w:pPr>
              <w:spacing w:after="20" w:before="80"/>
            </w:pPr>
            <w:r>
              <w:rPr>
                <w:rFonts w:ascii="Calibri" w:cs="Calibri" w:eastAsia="Calibri" w:hAnsi="Calibri"/>
                <w:b/>
                <w:bCs/>
                <w:color w:val="1A2E4A"/>
                <w:sz w:val="22"/>
                <w:szCs w:val="22"/>
              </w:rPr>
              <w:t xml:space="preserve">The Steward’s Mark represents The Promise Made.</w:t>
            </w:r>
          </w:p>
          <w:p>
            <w:pPr>
              <w:spacing w:after="80" w:before="20"/>
            </w:pPr>
            <w:r>
              <w:rPr>
                <w:rFonts w:ascii="Calibri" w:cs="Calibri" w:eastAsia="Calibri" w:hAnsi="Calibri"/>
                <w:b/>
                <w:bCs/>
                <w:color w:val="1A2E4A"/>
                <w:sz w:val="22"/>
                <w:szCs w:val="22"/>
              </w:rPr>
              <w:t xml:space="preserve">The Stewardship Mark represents The Promise Kept.</w:t>
            </w:r>
          </w:p>
        </w:tc>
      </w:tr>
    </w:tbl>
    <w:p>
      <w:pPr>
        <w:spacing w:after="40" w:before="40"/>
      </w:pPr>
    </w:p>
    <w:p>
      <w:pPr>
        <w:spacing w:after="60" w:before="60"/>
      </w:pPr>
      <w:r>
        <w:rPr>
          <w:rFonts w:ascii="Calibri" w:cs="Calibri" w:eastAsia="Calibri" w:hAnsi="Calibri"/>
          <w:color w:val="4A5568"/>
          <w:sz w:val="22"/>
          <w:szCs w:val="22"/>
        </w:rPr>
        <w:t xml:space="preserve">These phrases describe not only the marks but the entire act of stewardship. They are grammatically parallel. They are personal. They are enduring. They do not sound like branding language because they are not branding language.</w:t>
      </w:r>
    </w:p>
    <w:p>
      <w:pPr>
        <w:spacing w:after="40" w:before="40"/>
      </w:pPr>
    </w:p>
    <w:p>
      <w:pPr>
        <w:spacing w:after="60" w:before="60"/>
      </w:pPr>
      <w:r>
        <w:rPr>
          <w:rFonts w:ascii="Calibri" w:cs="Calibri" w:eastAsia="Calibri" w:hAnsi="Calibri"/>
          <w:i/>
          <w:iCs/>
          <w:color w:val="1A2E4A"/>
          <w:sz w:val="22"/>
          <w:szCs w:val="22"/>
        </w:rPr>
        <w:t xml:space="preserve">Stewardship is measured not by the promises we make, but by the promises we keep.</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ONLY TWO MARKS</w:t>
      </w:r>
    </w:p>
    <w:p>
      <w:pPr>
        <w:spacing w:after="40" w:before="40"/>
      </w:pPr>
    </w:p>
    <w:p>
      <w:pPr>
        <w:spacing w:after="60" w:before="60"/>
      </w:pPr>
      <w:r>
        <w:rPr>
          <w:rFonts w:ascii="Calibri" w:cs="Calibri" w:eastAsia="Calibri" w:hAnsi="Calibri"/>
          <w:color w:val="4A5568"/>
          <w:sz w:val="22"/>
          <w:szCs w:val="22"/>
        </w:rPr>
        <w:t xml:space="preserve">LifeBook will never introduce a third mark.</w:t>
      </w:r>
    </w:p>
    <w:p>
      <w:pPr>
        <w:spacing w:after="40" w:before="40"/>
      </w:pPr>
    </w:p>
    <w:p>
      <w:pPr>
        <w:spacing w:after="60" w:before="60"/>
      </w:pPr>
      <w:r>
        <w:rPr>
          <w:rFonts w:ascii="Calibri" w:cs="Calibri" w:eastAsia="Calibri" w:hAnsi="Calibri"/>
          <w:color w:val="4A5568"/>
          <w:sz w:val="22"/>
          <w:szCs w:val="22"/>
        </w:rPr>
        <w:t xml:space="preserve">This is both a philosophical and a practical commitment. Philosophically, every act of stewardship is an expression of the same two ideas: a promise made and a promise kept. Every future act of stewardship is simply another expression of the Stewardship Mark — not a new symbol. Another family. Another relationship. Another promise kept.</w:t>
      </w:r>
    </w:p>
    <w:p>
      <w:pPr>
        <w:spacing w:after="40" w:before="40"/>
      </w:pPr>
    </w:p>
    <w:p>
      <w:pPr>
        <w:spacing w:after="60" w:before="60"/>
      </w:pPr>
      <w:r>
        <w:rPr>
          <w:rFonts w:ascii="Calibri" w:cs="Calibri" w:eastAsia="Calibri" w:hAnsi="Calibri"/>
          <w:color w:val="4A5568"/>
          <w:sz w:val="22"/>
          <w:szCs w:val="22"/>
        </w:rPr>
        <w:t xml:space="preserve">Practically, brand proliferation — product marks, department marks, campaign marks, commemorative marks, anniversary symbols — weakens an identity by multiplying it. LifeBook’s identity is built to resist this.</w:t>
      </w:r>
    </w:p>
    <w:p>
      <w:pPr>
        <w:spacing w:after="40" w:before="4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shd w:fill="FFF8E7" w:val="clear"/>
            <w:tcMar>
              <w:top w:type="dxa" w:w="180"/>
              <w:left w:type="dxa" w:w="280"/>
              <w:bottom w:type="dxa" w:w="180"/>
              <w:right w:type="dxa" w:w="280"/>
            </w:tcMar>
          </w:tcPr>
          <w:p>
            <w:pPr>
              <w:spacing w:after="20" w:before="80"/>
            </w:pPr>
            <w:r>
              <w:rPr>
                <w:rFonts w:ascii="Calibri" w:cs="Calibri" w:eastAsia="Calibri" w:hAnsi="Calibri"/>
                <w:color w:val="1A2E4A"/>
                <w:sz w:val="22"/>
                <w:szCs w:val="22"/>
              </w:rPr>
              <w:t xml:space="preserve">No product mark.</w:t>
            </w:r>
          </w:p>
          <w:p>
            <w:pPr>
              <w:spacing w:after="20" w:before="20"/>
            </w:pPr>
            <w:r>
              <w:rPr>
                <w:rFonts w:ascii="Calibri" w:cs="Calibri" w:eastAsia="Calibri" w:hAnsi="Calibri"/>
                <w:color w:val="1A2E4A"/>
                <w:sz w:val="22"/>
                <w:szCs w:val="22"/>
              </w:rPr>
              <w:t xml:space="preserve">No department mark.</w:t>
            </w:r>
          </w:p>
          <w:p>
            <w:pPr>
              <w:spacing w:after="20" w:before="20"/>
            </w:pPr>
            <w:r>
              <w:rPr>
                <w:rFonts w:ascii="Calibri" w:cs="Calibri" w:eastAsia="Calibri" w:hAnsi="Calibri"/>
                <w:color w:val="1A2E4A"/>
                <w:sz w:val="22"/>
                <w:szCs w:val="22"/>
              </w:rPr>
              <w:t xml:space="preserve">No campaign mark.</w:t>
            </w:r>
          </w:p>
          <w:p>
            <w:pPr>
              <w:spacing w:after="20" w:before="20"/>
            </w:pPr>
            <w:r>
              <w:rPr>
                <w:rFonts w:ascii="Calibri" w:cs="Calibri" w:eastAsia="Calibri" w:hAnsi="Calibri"/>
                <w:color w:val="1A2E4A"/>
                <w:sz w:val="22"/>
                <w:szCs w:val="22"/>
              </w:rPr>
              <w:t xml:space="preserve">No commemorative mark.</w:t>
            </w:r>
          </w:p>
          <w:p>
            <w:pPr>
              <w:spacing w:after="80" w:before="20"/>
            </w:pPr>
            <w:r>
              <w:rPr>
                <w:rFonts w:ascii="Calibri" w:cs="Calibri" w:eastAsia="Calibri" w:hAnsi="Calibri"/>
                <w:color w:val="1A2E4A"/>
                <w:sz w:val="22"/>
                <w:szCs w:val="22"/>
              </w:rPr>
              <w:t xml:space="preserve">No anniversary symbol.</w:t>
            </w:r>
          </w:p>
        </w:tc>
      </w:tr>
    </w:tbl>
    <w:p>
      <w:pPr>
        <w:spacing w:after="40" w:before="40"/>
      </w:pPr>
    </w:p>
    <w:p>
      <w:pPr>
        <w:spacing w:after="60" w:before="60"/>
      </w:pPr>
      <w:r>
        <w:rPr>
          <w:rFonts w:ascii="Calibri" w:cs="Calibri" w:eastAsia="Calibri" w:hAnsi="Calibri"/>
          <w:i/>
          <w:iCs/>
          <w:color w:val="1A2E4A"/>
          <w:sz w:val="22"/>
          <w:szCs w:val="22"/>
        </w:rPr>
        <w:t xml:space="preserve">The mission remains the same. The promise remains the same. Only the people change.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THE VISUAL LANGUAGE REPEATS, NOT EXPANDS</w:t>
      </w:r>
    </w:p>
    <w:p>
      <w:pPr>
        <w:spacing w:after="40" w:before="40"/>
      </w:pPr>
    </w:p>
    <w:p>
      <w:pPr>
        <w:spacing w:after="60" w:before="60"/>
      </w:pPr>
      <w:r>
        <w:rPr>
          <w:rFonts w:ascii="Calibri" w:cs="Calibri" w:eastAsia="Calibri" w:hAnsi="Calibri"/>
          <w:color w:val="4A5568"/>
          <w:sz w:val="22"/>
          <w:szCs w:val="22"/>
        </w:rPr>
        <w:t xml:space="preserve">LifeBook’s visual language should repeat rather than grow. As the company serves more people, the Stewardship Mark is expressed more times — not reinvented, not refined, not given new forms to reflect new milestones.</w:t>
      </w:r>
    </w:p>
    <w:p>
      <w:pPr>
        <w:spacing w:after="40" w:before="40"/>
      </w:pPr>
    </w:p>
    <w:p>
      <w:pPr>
        <w:spacing w:after="60" w:before="60"/>
      </w:pPr>
      <w:r>
        <w:rPr>
          <w:rFonts w:ascii="Calibri" w:cs="Calibri" w:eastAsia="Calibri" w:hAnsi="Calibri"/>
          <w:i/>
          <w:iCs/>
          <w:color w:val="1A2E4A"/>
          <w:sz w:val="22"/>
          <w:szCs w:val="22"/>
        </w:rPr>
        <w:t xml:space="preserve">Repetition is the sincerest form of commitment.</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CORRESPONDENCE</w:t>
      </w:r>
    </w:p>
    <w:p>
      <w:pPr>
        <w:spacing w:after="40" w:before="40"/>
      </w:pPr>
    </w:p>
    <w:p>
      <w:pPr>
        <w:spacing w:after="60" w:before="60"/>
      </w:pPr>
      <w:r>
        <w:rPr>
          <w:rFonts w:ascii="Calibri" w:cs="Calibri" w:eastAsia="Calibri" w:hAnsi="Calibri"/>
          <w:color w:val="4A5568"/>
          <w:sz w:val="22"/>
          <w:szCs w:val="22"/>
        </w:rPr>
        <w:t xml:space="preserve">Most correspondence opens with the Steward’s Mark alongside the wordmark LifeBook. This is The Promise Made.</w:t>
      </w:r>
    </w:p>
    <w:p>
      <w:pPr>
        <w:spacing w:after="40" w:before="40"/>
      </w:pPr>
    </w:p>
    <w:p>
      <w:pPr>
        <w:spacing w:after="60" w:before="60"/>
      </w:pPr>
      <w:r>
        <w:rPr>
          <w:rFonts w:ascii="Calibri" w:cs="Calibri" w:eastAsia="Calibri" w:hAnsi="Calibri"/>
          <w:color w:val="4A5568"/>
          <w:sz w:val="22"/>
          <w:szCs w:val="22"/>
        </w:rPr>
        <w:t xml:space="preserve">Where appropriate, correspondence closes with the Stewardship Mark alone — without the wordmark. This is The Promise Kept.</w:t>
      </w:r>
    </w:p>
    <w:p>
      <w:pPr>
        <w:spacing w:after="40" w:before="40"/>
      </w:pPr>
    </w:p>
    <w:p>
      <w:pPr>
        <w:spacing w:after="60" w:before="60"/>
      </w:pPr>
      <w:r>
        <w:rPr>
          <w:rFonts w:ascii="Calibri" w:cs="Calibri" w:eastAsia="Calibri" w:hAnsi="Calibri"/>
          <w:i/>
          <w:iCs/>
          <w:color w:val="1A2E4A"/>
          <w:sz w:val="22"/>
          <w:szCs w:val="22"/>
        </w:rPr>
        <w:t xml:space="preserve">The relationship, not the company, is the final message.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IDENTITY BECOMES QUIETER</w:t>
      </w:r>
    </w:p>
    <w:p>
      <w:pPr>
        <w:spacing w:after="40" w:before="40"/>
      </w:pPr>
    </w:p>
    <w:p>
      <w:pPr>
        <w:spacing w:after="60" w:before="60"/>
      </w:pPr>
      <w:r>
        <w:rPr>
          <w:rFonts w:ascii="Calibri" w:cs="Calibri" w:eastAsia="Calibri" w:hAnsi="Calibri"/>
          <w:color w:val="4A5568"/>
          <w:sz w:val="22"/>
          <w:szCs w:val="22"/>
        </w:rPr>
        <w:t xml:space="preserve">As LifeBook grows, its identity should become less prominent, not more. The instinct to announce success through visual complexity — expanded palettes, new marks, bolder type — runs directly counter to this Charter’s purpose.</w:t>
      </w:r>
    </w:p>
    <w:p>
      <w:pPr>
        <w:spacing w:after="40" w:before="40"/>
      </w:pPr>
    </w:p>
    <w:p>
      <w:pPr>
        <w:spacing w:after="60" w:before="60"/>
      </w:pPr>
      <w:r>
        <w:rPr>
          <w:rFonts w:ascii="Calibri" w:cs="Calibri" w:eastAsia="Calibri" w:hAnsi="Calibri"/>
          <w:i/>
          <w:iCs/>
          <w:color w:val="1A2E4A"/>
          <w:sz w:val="22"/>
          <w:szCs w:val="22"/>
        </w:rPr>
        <w:t xml:space="preserve">An identity built on stewardship should, in time, require no introduction.</w:t>
      </w:r>
    </w:p>
    <w:p>
      <w:pPr>
        <w:spacing w:after="40" w:before="40"/>
      </w:pPr>
    </w:p>
    <w:p>
      <w:pPr>
        <w:spacing w:after="40" w:before="40"/>
      </w:pPr>
    </w:p>
    <w:sectPr>
      <w:footerReference w:type="default" r:id="rId7"/>
      <w:pgSz w:w="12240" w:h="15840" w:orient="portrait"/>
      <w:pgMar w:top="180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Identity Charter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pPr>
    <w:rPr>
      <w:rFonts w:ascii="Calibri" w:cs="Calibri" w:eastAsia="Calibri" w:hAnsi="Calibri"/>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e3144a1d0b2a6f2c8e7b65527fc82077c774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2026-07-20T18:41:21.386Z</dcterms:created>
  <dcterms:modified xsi:type="dcterms:W3CDTF">2026-07-20T18:41:21.387Z</dcterms:modified>
</cp:coreProperties>
</file>

<file path=docProps/custom.xml><?xml version="1.0" encoding="utf-8"?>
<Properties xmlns="http://schemas.openxmlformats.org/officeDocument/2006/custom-properties" xmlns:vt="http://schemas.openxmlformats.org/officeDocument/2006/docPropsVTypes"/>
</file>