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4032"/>
              <w:left w:type="dxa" w:w="2160"/>
              <w:bottom w:type="dxa" w:w="4032"/>
              <w:right w:type="dxa" w:w="2160"/>
            </w:tcMar>
          </w:tcPr>
          <w:p>
            <w:pPr>
              <w:spacing w:after="160" w:before="0"/>
              <w:jc w:val="center"/>
            </w:pPr>
            <w:r>
              <w:drawing>
                <wp:inline distT="0" distB="0" distL="0" distR="0">
                  <wp:extent cx="3048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800100"/>
                          </a:xfrm>
                          <a:prstGeom prst="rect">
                            <a:avLst/>
                          </a:prstGeom>
                        </pic:spPr>
                      </pic:pic>
                    </a:graphicData>
                  </a:graphic>
                </wp:inline>
              </w:drawing>
            </w:r>
          </w:p>
          <w:p>
            <w:pPr>
              <w:spacing w:after="240" w:before="0"/>
              <w:jc w:val="center"/>
            </w:pPr>
            <w:r>
              <w:rPr>
                <w:rFonts w:ascii="Calibri" w:cs="Calibri" w:eastAsia="Calibri" w:hAnsi="Calibri"/>
                <w:b w:val="false"/>
                <w:bCs w:val="false"/>
                <w:i w:val="false"/>
                <w:iCs w:val="false"/>
                <w:color w:val="2A7A7A"/>
                <w:sz w:val="28"/>
                <w:szCs w:val="28"/>
              </w:rPr>
              <w:t xml:space="preserve">─────────────────────────────</w:t>
            </w:r>
          </w:p>
          <w:p>
            <w:pPr>
              <w:spacing w:after="160" w:before="0"/>
              <w:jc w:val="center"/>
            </w:pPr>
            <w:r>
              <w:rPr>
                <w:rFonts w:ascii="Calibri" w:cs="Calibri" w:eastAsia="Calibri" w:hAnsi="Calibri"/>
                <w:b w:val="false"/>
                <w:bCs w:val="false"/>
                <w:i w:val="false"/>
                <w:iCs w:val="false"/>
                <w:color w:val="D0E8E8"/>
                <w:sz w:val="36"/>
                <w:szCs w:val="36"/>
              </w:rPr>
              <w:t xml:space="preserve">Identity Standards</w:t>
            </w:r>
          </w:p>
          <w:p>
            <w:pPr>
              <w:spacing w:after="40" w:before="40"/>
            </w:pPr>
          </w:p>
          <w:p>
            <w:pPr>
              <w:spacing w:after="40" w:before="40"/>
            </w:pPr>
          </w:p>
          <w:p>
            <w:pPr>
              <w:spacing w:after="200" w:before="0"/>
              <w:jc w:val="center"/>
            </w:pPr>
            <w:r>
              <w:rPr>
                <w:rFonts w:ascii="Calibri" w:cs="Calibri" w:eastAsia="Calibri" w:hAnsi="Calibri"/>
                <w:b w:val="false"/>
                <w:bCs w:val="false"/>
                <w:i w:val="false"/>
                <w:iCs w:val="false"/>
                <w:color w:val="2A7A7A"/>
                <w:sz w:val="22"/>
                <w:szCs w:val="22"/>
              </w:rPr>
              <w:t xml:space="preserve">─────────────────────────────</w:t>
            </w:r>
          </w:p>
          <w:p>
            <w:pPr>
              <w:spacing w:after="120" w:before="0"/>
              <w:jc w:val="center"/>
            </w:pPr>
            <w:r>
              <w:rPr>
                <w:rFonts w:ascii="Calibri" w:cs="Calibri" w:eastAsia="Calibri" w:hAnsi="Calibri"/>
                <w:b w:val="false"/>
                <w:bCs w:val="false"/>
                <w:i w:val="false"/>
                <w:iCs w:val="false"/>
                <w:color w:val="A0C4C4"/>
                <w:sz w:val="22"/>
                <w:szCs w:val="22"/>
              </w:rPr>
              <w:t xml:space="preserve">Execution Specifications  ·  Version 1.0</w:t>
            </w:r>
          </w:p>
          <w:p>
            <w:pPr>
              <w:spacing w:after="40" w:before="40"/>
            </w:pPr>
          </w:p>
          <w:p>
            <w:pPr>
              <w:spacing w:after="40" w:before="40"/>
            </w:pPr>
          </w:p>
          <w:p>
            <w:pPr>
              <w:spacing w:after="40" w:before="40"/>
            </w:pPr>
          </w:p>
          <w:p>
            <w:pPr>
              <w:spacing w:after="0" w:before="0"/>
              <w:jc w:val="center"/>
            </w:pPr>
            <w:r>
              <w:rPr>
                <w:rFonts w:ascii="Calibri" w:cs="Calibri" w:eastAsia="Calibri" w:hAnsi="Calibri"/>
                <w:b w:val="false"/>
                <w:bCs w:val="false"/>
                <w:i/>
                <w:iCs/>
                <w:color w:val="708090"/>
                <w:sz w:val="20"/>
                <w:szCs w:val="20"/>
              </w:rPr>
              <w:t xml:space="preserve">These Standards describe execution. The Identity Charter describes why.</w:t>
            </w:r>
          </w:p>
        </w:tc>
      </w:tr>
    </w:tbl>
    <w:p>
      <w:pPr>
        <w:sectPr>
          <w:pgSz w:w="12240" w:h="15840" w:orient="portrait"/>
          <w:pgMar w:top="0" w:right="0" w:bottom="0" w:left="0" w:header="708" w:footer="708" w:gutter="0"/>
          <w:pgNumType/>
          <w:docGrid w:linePitch="360"/>
        </w:sectPr>
      </w:pPr>
    </w:p>
    <w:p>
      <w:pPr>
        <w:spacing w:after="40" w:before="40"/>
      </w:pPr>
    </w:p>
    <w:p>
      <w:pPr>
        <w:spacing w:after="60" w:before="60"/>
      </w:pPr>
      <w:r>
        <w:rPr>
          <w:rFonts w:ascii="Calibri" w:cs="Calibri" w:eastAsia="Calibri" w:hAnsi="Calibri"/>
          <w:color w:val="4A5568"/>
          <w:sz w:val="22"/>
          <w:szCs w:val="22"/>
        </w:rPr>
        <w:t xml:space="preserve">These Standards describe the execution of LifeBook’s visual identity. They specify measurements, colour values, and application rules. They should be read alongside the LifeBook Identity Charter, which provides the philosophical context for each decision described here.</w:t>
      </w:r>
    </w:p>
    <w:p>
      <w:pPr>
        <w:spacing w:after="40" w:before="40"/>
      </w:pPr>
    </w:p>
    <w:p>
      <w:pPr>
        <w:spacing w:after="60" w:before="60"/>
      </w:pPr>
      <w:r>
        <w:rPr>
          <w:rFonts w:ascii="Calibri" w:cs="Calibri" w:eastAsia="Calibri" w:hAnsi="Calibri"/>
          <w:color w:val="4A5568"/>
          <w:sz w:val="22"/>
          <w:szCs w:val="22"/>
        </w:rPr>
        <w:t xml:space="preserve">The Charter should be consulted whenever these Standards are unclear or when a new situation arises that the Standards have not yet addressed.</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EBF4F4" w:val="clear"/>
            <w:tcMar>
              <w:top w:type="dxa" w:w="160"/>
              <w:left w:type="dxa" w:w="240"/>
              <w:bottom w:type="dxa" w:w="160"/>
              <w:right w:type="dxa" w:w="240"/>
            </w:tcMar>
          </w:tcPr>
          <w:p>
            <w:pPr>
              <w:spacing w:after="60" w:before="60"/>
            </w:pPr>
            <w:r>
              <w:rPr>
                <w:rFonts w:ascii="Calibri" w:cs="Calibri" w:eastAsia="Calibri" w:hAnsi="Calibri"/>
                <w:i/>
                <w:iCs/>
                <w:color w:val="1A2E4A"/>
                <w:sz w:val="22"/>
                <w:szCs w:val="22"/>
              </w:rPr>
              <w:t xml:space="preserve">These Standards may evolve. The Charter they serve should not.</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01  </w:t>
      </w:r>
      <w:r>
        <w:rPr>
          <w:rFonts w:ascii="Calibri" w:cs="Calibri" w:eastAsia="Calibri" w:hAnsi="Calibri"/>
          <w:b/>
          <w:bCs/>
          <w:color w:val="FFFFFF"/>
          <w:sz w:val="22"/>
          <w:szCs w:val="22"/>
        </w:rPr>
        <w:t xml:space="preserve">THE STEWARD’S MARK — SPECIFICATIONS</w:t>
      </w:r>
    </w:p>
    <w:p>
      <w:pPr>
        <w:spacing w:after="40" w:before="40"/>
      </w:pPr>
    </w:p>
    <w:p>
      <w:pPr>
        <w:spacing w:after="60" w:before="60"/>
      </w:pPr>
      <w:r>
        <w:rPr>
          <w:rFonts w:ascii="Calibri" w:cs="Calibri" w:eastAsia="Calibri" w:hAnsi="Calibri"/>
          <w:color w:val="4A5568"/>
          <w:sz w:val="22"/>
          <w:szCs w:val="22"/>
        </w:rPr>
        <w:t xml:space="preserve">The Steward’s Mark is a single filled circle. It is used at three sizes depending on context. The Standard size is the default.</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6120"/>
      </w:tblGrid>
      <w:tr>
        <w:tc>
          <w:tcPr>
            <w:tcW w:type="dxa" w:w="14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DESIGNATION</w:t>
            </w:r>
          </w:p>
        </w:tc>
        <w:tc>
          <w:tcPr>
            <w:tcW w:type="dxa" w:w="10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RADIUS</w:t>
            </w:r>
          </w:p>
        </w:tc>
        <w:tc>
          <w:tcPr>
            <w:tcW w:type="dxa" w:w="612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CONTEXT</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Accent</w:t>
            </w:r>
          </w:p>
        </w:tc>
        <w:tc>
          <w:tcPr>
            <w:tcW w:type="dxa" w:w="10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r = 9px</w:t>
            </w:r>
          </w:p>
        </w:tc>
        <w:tc>
          <w:tcPr>
            <w:tcW w:type="dxa" w:w="612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Inline, footnote, correspondence signature</w:t>
            </w:r>
          </w:p>
        </w:tc>
      </w:tr>
      <w:tr>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Standard</w:t>
            </w:r>
          </w:p>
        </w:tc>
        <w:tc>
          <w:tcPr>
            <w:tcW w:type="dxa" w:w="10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r = 16px</w:t>
            </w:r>
          </w:p>
        </w:tc>
        <w:tc>
          <w:tcPr>
            <w:tcW w:type="dxa" w:w="612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Letterhead, document headers — recommended for most uses</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Title</w:t>
            </w:r>
          </w:p>
        </w:tc>
        <w:tc>
          <w:tcPr>
            <w:tcW w:type="dxa" w:w="10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r = 24px</w:t>
            </w:r>
          </w:p>
        </w:tc>
        <w:tc>
          <w:tcPr>
            <w:tcW w:type="dxa" w:w="612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Cover pages, large-format, display use</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02  </w:t>
      </w:r>
      <w:r>
        <w:rPr>
          <w:rFonts w:ascii="Calibri" w:cs="Calibri" w:eastAsia="Calibri" w:hAnsi="Calibri"/>
          <w:b/>
          <w:bCs/>
          <w:color w:val="FFFFFF"/>
          <w:sz w:val="22"/>
          <w:szCs w:val="22"/>
        </w:rPr>
        <w:t xml:space="preserve">THE STEWARDSHIP MARK — SPECIFICATIONS</w:t>
      </w:r>
    </w:p>
    <w:p>
      <w:pPr>
        <w:spacing w:after="40" w:before="40"/>
      </w:pPr>
    </w:p>
    <w:p>
      <w:pPr>
        <w:spacing w:after="60" w:before="60"/>
      </w:pPr>
      <w:r>
        <w:rPr>
          <w:rFonts w:ascii="Calibri" w:cs="Calibri" w:eastAsia="Calibri" w:hAnsi="Calibri"/>
          <w:color w:val="4A5568"/>
          <w:sz w:val="22"/>
          <w:szCs w:val="22"/>
        </w:rPr>
        <w:t xml:space="preserve">The Stewardship Mark consists of two filled circles of equal size connected by a short horizontal line. A small optical gap separates the line from each circle. The gap is not a design preference — it is a principle. See the Identity Charter: The Two Marks.</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PROPERTY</w:t>
            </w:r>
          </w:p>
        </w:tc>
        <w:tc>
          <w:tcPr>
            <w:tcW w:type="dxa" w:w="57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VALUE</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Circle radius</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16px — matching the Steward’s Mark Standard</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Optical gap</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4px at each end of the connecting line</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Line weight</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1.5pt</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Stroke linecap</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Round</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Mark orientation</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Horizontal only — the circles are always at equal height</w:t>
            </w:r>
          </w:p>
        </w:tc>
      </w:tr>
    </w:tbl>
    <w:p>
      <w:pPr>
        <w:spacing w:after="40" w:before="40"/>
      </w:pPr>
    </w:p>
    <w:p>
      <w:pPr>
        <w:spacing w:after="40" w:before="40"/>
      </w:pPr>
      <w:r>
        <w:rPr>
          <w:rFonts w:ascii="Calibri" w:cs="Calibri" w:eastAsia="Calibri" w:hAnsi="Calibri"/>
          <w:b/>
          <w:bCs/>
          <w:color w:val="2A7A7A"/>
          <w:sz w:val="20"/>
          <w:szCs w:val="20"/>
        </w:rPr>
        <w:t xml:space="preserve">Note: </w:t>
      </w:r>
      <w:r>
        <w:rPr>
          <w:rFonts w:ascii="Calibri" w:cs="Calibri" w:eastAsia="Calibri" w:hAnsi="Calibri"/>
          <w:i/>
          <w:iCs/>
          <w:color w:val="4A5568"/>
          <w:sz w:val="20"/>
          <w:szCs w:val="20"/>
        </w:rPr>
        <w:t xml:space="preserve">The connecting line must never touch either circle. The gap makes visible what the Charter establishes in principle: the relationship exists between two complete people, not as part of either person.</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03  </w:t>
      </w:r>
      <w:r>
        <w:rPr>
          <w:rFonts w:ascii="Calibri" w:cs="Calibri" w:eastAsia="Calibri" w:hAnsi="Calibri"/>
          <w:b/>
          <w:bCs/>
          <w:color w:val="FFFFFF"/>
          <w:sz w:val="22"/>
          <w:szCs w:val="22"/>
        </w:rPr>
        <w:t xml:space="preserve">COLOUR PALETTE</w:t>
      </w:r>
    </w:p>
    <w:p>
      <w:pPr>
        <w:spacing w:after="40" w:before="40"/>
      </w:pPr>
    </w:p>
    <w:p>
      <w:pPr>
        <w:spacing w:after="60" w:before="60"/>
      </w:pPr>
      <w:r>
        <w:rPr>
          <w:rFonts w:ascii="Calibri" w:cs="Calibri" w:eastAsia="Calibri" w:hAnsi="Calibri"/>
          <w:color w:val="4A5568"/>
          <w:sz w:val="22"/>
          <w:szCs w:val="22"/>
        </w:rPr>
        <w:t xml:space="preserve">LifeBook’s colour palette is intentionally narrow. It should not be expanded without a documented decision that references the Identity Charter.</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5760"/>
      </w:tblGrid>
      <w:tr>
        <w:tc>
          <w:tcPr>
            <w:tcW w:type="dxa" w:w="14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NAME</w:t>
            </w:r>
          </w:p>
        </w:tc>
        <w:tc>
          <w:tcPr>
            <w:tcW w:type="dxa" w:w="14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HEX</w:t>
            </w:r>
          </w:p>
        </w:tc>
        <w:tc>
          <w:tcPr>
            <w:tcW w:type="dxa" w:w="57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PRIMARY USE</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Navy</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#1A2E4A</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Marks (primary), headings, principal text</w:t>
            </w:r>
          </w:p>
        </w:tc>
      </w:tr>
      <w:tr>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Teal</w:t>
            </w:r>
          </w:p>
        </w:tc>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#2A7A7A</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Accent, callouts, section sub-labels</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Slate</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#4A5568</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Body text, supporting text</w:t>
            </w:r>
          </w:p>
        </w:tc>
      </w:tr>
      <w:tr>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Light</w:t>
            </w:r>
          </w:p>
        </w:tc>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#F7F9FB</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Section backgrounds, callout fills</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White</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#FFFFFF</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Primary page background</w:t>
            </w:r>
          </w:p>
        </w:tc>
      </w:tr>
      <w:tr>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Rule</w:t>
            </w:r>
          </w:p>
        </w:tc>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#CBD5E0</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Dividers, borders, table rules</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04  </w:t>
      </w:r>
      <w:r>
        <w:rPr>
          <w:rFonts w:ascii="Calibri" w:cs="Calibri" w:eastAsia="Calibri" w:hAnsi="Calibri"/>
          <w:b/>
          <w:bCs/>
          <w:color w:val="FFFFFF"/>
          <w:sz w:val="22"/>
          <w:szCs w:val="22"/>
        </w:rPr>
        <w:t xml:space="preserve">MARK COLOUR USAGE</w:t>
      </w:r>
    </w:p>
    <w:p>
      <w:pPr>
        <w:spacing w:after="40" w:before="40"/>
      </w:pPr>
    </w:p>
    <w:p>
      <w:pPr>
        <w:spacing w:after="60" w:before="60"/>
      </w:pPr>
      <w:r>
        <w:rPr>
          <w:rFonts w:ascii="Calibri" w:cs="Calibri" w:eastAsia="Calibri" w:hAnsi="Calibri"/>
          <w:color w:val="4A5568"/>
          <w:sz w:val="22"/>
          <w:szCs w:val="22"/>
        </w:rPr>
        <w:t xml:space="preserve">The marks should appear in one of four approved colour treatments. Teal and On Teal are accent uses; they should appear sparingly and deliberately.</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800"/>
        <w:gridCol w:w="3240"/>
      </w:tblGrid>
      <w:tr>
        <w:tc>
          <w:tcPr>
            <w:tcW w:type="dxa" w:w="14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TREATMENT</w:t>
            </w:r>
          </w:p>
        </w:tc>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MARK COLOUR</w:t>
            </w:r>
          </w:p>
        </w:tc>
        <w:tc>
          <w:tcPr>
            <w:tcW w:type="dxa" w:w="180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BACKGROUND</w:t>
            </w:r>
          </w:p>
        </w:tc>
        <w:tc>
          <w:tcPr>
            <w:tcW w:type="dxa" w:w="32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CONTEXT</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Primary</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Navy (#1A2E4A)</w:t>
            </w:r>
          </w:p>
        </w:tc>
        <w:tc>
          <w:tcPr>
            <w:tcW w:type="dxa" w:w="180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White</w:t>
            </w:r>
          </w:p>
        </w:tc>
        <w:tc>
          <w:tcPr>
            <w:tcW w:type="dxa" w:w="32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Standard use in all documents</w:t>
            </w:r>
          </w:p>
        </w:tc>
      </w:tr>
      <w:tr>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Reversed</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Parchment (#FFF8E7)</w:t>
            </w:r>
          </w:p>
        </w:tc>
        <w:tc>
          <w:tcPr>
            <w:tcW w:type="dxa" w:w="180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Midnight (#1A2E4A)</w:t>
            </w:r>
          </w:p>
        </w:tc>
        <w:tc>
          <w:tcPr>
            <w:tcW w:type="dxa" w:w="32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Cover pages, dark backgrounds</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Accent</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Teal (#2A7A7A)</w:t>
            </w:r>
          </w:p>
        </w:tc>
        <w:tc>
          <w:tcPr>
            <w:tcW w:type="dxa" w:w="180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Light (#F7F9FB)</w:t>
            </w:r>
          </w:p>
        </w:tc>
        <w:tc>
          <w:tcPr>
            <w:tcW w:type="dxa" w:w="32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Callout environments</w:t>
            </w:r>
          </w:p>
        </w:tc>
      </w:tr>
      <w:tr>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On Teal</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White (#FFFFFF)</w:t>
            </w:r>
          </w:p>
        </w:tc>
        <w:tc>
          <w:tcPr>
            <w:tcW w:type="dxa" w:w="180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Teal (#2A7A7A)</w:t>
            </w:r>
          </w:p>
        </w:tc>
        <w:tc>
          <w:tcPr>
            <w:tcW w:type="dxa" w:w="32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Rare — use deliberately</w:t>
            </w:r>
          </w:p>
        </w:tc>
      </w:tr>
    </w:tbl>
    <w:p>
      <w:pPr>
        <w:spacing w:after="40" w:before="40"/>
      </w:pPr>
    </w:p>
    <w:p>
      <w:pPr>
        <w:spacing w:after="40" w:before="40"/>
      </w:pPr>
      <w:r>
        <w:rPr>
          <w:rFonts w:ascii="Calibri" w:cs="Calibri" w:eastAsia="Calibri" w:hAnsi="Calibri"/>
          <w:b/>
          <w:bCs/>
          <w:color w:val="2A7A7A"/>
          <w:sz w:val="20"/>
          <w:szCs w:val="20"/>
        </w:rPr>
        <w:t xml:space="preserve">Note: </w:t>
      </w:r>
      <w:r>
        <w:rPr>
          <w:rFonts w:ascii="Calibri" w:cs="Calibri" w:eastAsia="Calibri" w:hAnsi="Calibri"/>
          <w:i/>
          <w:iCs/>
          <w:color w:val="4A5568"/>
          <w:sz w:val="20"/>
          <w:szCs w:val="20"/>
        </w:rPr>
        <w:t xml:space="preserve">The reversed identity uses LifeBook Parchment (#FFF8E7) rather than white so that each circle continues to read as a complete, preserved life—not an empty space.</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05  </w:t>
      </w:r>
      <w:r>
        <w:rPr>
          <w:rFonts w:ascii="Calibri" w:cs="Calibri" w:eastAsia="Calibri" w:hAnsi="Calibri"/>
          <w:b/>
          <w:bCs/>
          <w:color w:val="FFFFFF"/>
          <w:sz w:val="22"/>
          <w:szCs w:val="22"/>
        </w:rPr>
        <w:t xml:space="preserve">TYPOGRAPHY</w:t>
      </w:r>
    </w:p>
    <w:p>
      <w:pPr>
        <w:spacing w:after="40" w:before="40"/>
      </w:pPr>
    </w:p>
    <w:p>
      <w:pPr>
        <w:spacing w:after="60" w:before="60"/>
      </w:pPr>
      <w:r>
        <w:rPr>
          <w:rFonts w:ascii="Calibri" w:cs="Calibri" w:eastAsia="Calibri" w:hAnsi="Calibri"/>
          <w:color w:val="4A5568"/>
          <w:sz w:val="22"/>
          <w:szCs w:val="22"/>
        </w:rPr>
        <w:t xml:space="preserve">All current LifeBook documents are set in Calibri. The table below records the established type scale.</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160"/>
        <w:gridCol w:w="2880"/>
      </w:tblGrid>
      <w:tr>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ELEMENT</w:t>
            </w:r>
          </w:p>
        </w:tc>
        <w:tc>
          <w:tcPr>
            <w:tcW w:type="dxa" w:w="14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TYPEFACE</w:t>
            </w:r>
          </w:p>
        </w:tc>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SIZE</w:t>
            </w:r>
          </w:p>
        </w:tc>
        <w:tc>
          <w:tcPr>
            <w:tcW w:type="dxa" w:w="28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TREATMENT</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Body text</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Calibri</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11pt  (22 half-pt)</w:t>
            </w:r>
          </w:p>
        </w:tc>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Regular, Slate (#4A5568)</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Section heading</w:t>
            </w:r>
          </w:p>
        </w:tc>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Calibri</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11pt  (22 half-pt)</w:t>
            </w:r>
          </w:p>
        </w:tc>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Bold, White on Navy — ALL CAPS</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Callout emphasis</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Calibri</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11pt  (22 half-pt)</w:t>
            </w:r>
          </w:p>
        </w:tc>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Bold, Navy</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Callout note</w:t>
            </w:r>
          </w:p>
        </w:tc>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Calibri</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10pt  (20 half-pt)</w:t>
            </w:r>
          </w:p>
        </w:tc>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Regular, Slate</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Footer</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Calibri</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9pt   (18 half-pt)</w:t>
            </w:r>
          </w:p>
        </w:tc>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Regular, Rule (#CBD5E0)</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Cover title</w:t>
            </w:r>
          </w:p>
        </w:tc>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Calibri</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32pt  (64 half-pt)</w:t>
            </w:r>
          </w:p>
        </w:tc>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Bold, White</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Cover subtitle</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Calibri</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18pt  (36 half-pt)</w:t>
            </w:r>
          </w:p>
        </w:tc>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Regular, #D0E8E8</w:t>
            </w:r>
          </w:p>
        </w:tc>
      </w:tr>
    </w:tbl>
    <w:p>
      <w:pPr>
        <w:spacing w:after="40" w:before="40"/>
      </w:pPr>
    </w:p>
    <w:p>
      <w:pPr>
        <w:spacing w:after="40" w:before="40"/>
      </w:pPr>
      <w:r>
        <w:rPr>
          <w:rFonts w:ascii="Calibri" w:cs="Calibri" w:eastAsia="Calibri" w:hAnsi="Calibri"/>
          <w:b/>
          <w:bCs/>
          <w:color w:val="2A7A7A"/>
          <w:sz w:val="20"/>
          <w:szCs w:val="20"/>
        </w:rPr>
        <w:t xml:space="preserve">Note: </w:t>
      </w:r>
      <w:r>
        <w:rPr>
          <w:rFonts w:ascii="Calibri" w:cs="Calibri" w:eastAsia="Calibri" w:hAnsi="Calibri"/>
          <w:i/>
          <w:iCs/>
          <w:color w:val="4A5568"/>
          <w:sz w:val="20"/>
          <w:szCs w:val="20"/>
        </w:rPr>
        <w:t xml:space="preserve">Calibri is appropriate for current document production. The working typeface should be reviewed as the identity matures toward print and formal publication use.</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06  </w:t>
      </w:r>
      <w:r>
        <w:rPr>
          <w:rFonts w:ascii="Calibri" w:cs="Calibri" w:eastAsia="Calibri" w:hAnsi="Calibri"/>
          <w:b/>
          <w:bCs/>
          <w:color w:val="FFFFFF"/>
          <w:sz w:val="22"/>
          <w:szCs w:val="22"/>
        </w:rPr>
        <w:t xml:space="preserve">CORRESPONDENCE APPLICATION</w:t>
      </w:r>
    </w:p>
    <w:p>
      <w:pPr>
        <w:spacing w:after="40" w:before="40"/>
      </w:pPr>
    </w:p>
    <w:p>
      <w:pPr>
        <w:spacing w:after="60" w:before="60"/>
      </w:pPr>
      <w:r>
        <w:rPr>
          <w:rFonts w:ascii="Calibri" w:cs="Calibri" w:eastAsia="Calibri" w:hAnsi="Calibri"/>
          <w:color w:val="4A5568"/>
          <w:sz w:val="22"/>
          <w:szCs w:val="22"/>
        </w:rPr>
        <w:t xml:space="preserve">The marks are applied in correspondence as follows. All correspondence should use the Standard size (r = 16px) unless the context specifically calls for Accent or Title scale.</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CONTEXT</w:t>
            </w:r>
          </w:p>
        </w:tc>
        <w:tc>
          <w:tcPr>
            <w:tcW w:type="dxa" w:w="28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MARK</w:t>
            </w:r>
          </w:p>
        </w:tc>
        <w:tc>
          <w:tcPr>
            <w:tcW w:type="dxa" w:w="28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TREATMENT</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Opening — The Promise Made</w:t>
            </w:r>
          </w:p>
        </w:tc>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Steward’s Mark (r = 12px inline)</w:t>
            </w:r>
          </w:p>
        </w:tc>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Mark followed by wordmark "LifeBook" in Calibri semi-bold, 21pt, Navy</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Closing — The Promise Kept</w:t>
            </w:r>
          </w:p>
        </w:tc>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Stewardship Mark</w:t>
            </w:r>
          </w:p>
        </w:tc>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Mark only — no wordmark, no explanation</w:t>
            </w:r>
          </w:p>
        </w:tc>
      </w:tr>
    </w:tbl>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EBF4F4" w:val="clear"/>
            <w:tcMar>
              <w:top w:type="dxa" w:w="160"/>
              <w:left w:type="dxa" w:w="240"/>
              <w:bottom w:type="dxa" w:w="160"/>
              <w:right w:type="dxa" w:w="240"/>
            </w:tcMar>
          </w:tcPr>
          <w:p>
            <w:pPr>
              <w:spacing w:after="60" w:before="60"/>
            </w:pPr>
            <w:r>
              <w:rPr>
                <w:rFonts w:ascii="Calibri" w:cs="Calibri" w:eastAsia="Calibri" w:hAnsi="Calibri"/>
                <w:i/>
                <w:iCs/>
                <w:color w:val="1A2E4A"/>
                <w:sz w:val="21"/>
                <w:szCs w:val="21"/>
              </w:rPr>
              <w:t xml:space="preserve">The Stewardship Mark closing requires no wordmark. The relationship, not the company, is the final message.</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07  </w:t>
      </w:r>
      <w:r>
        <w:rPr>
          <w:rFonts w:ascii="Calibri" w:cs="Calibri" w:eastAsia="Calibri" w:hAnsi="Calibri"/>
          <w:b/>
          <w:bCs/>
          <w:color w:val="FFFFFF"/>
          <w:sz w:val="22"/>
          <w:szCs w:val="22"/>
        </w:rPr>
        <w:t xml:space="preserve">PROHIBITED USES</w:t>
      </w:r>
    </w:p>
    <w:p>
      <w:pPr>
        <w:spacing w:after="40" w:before="40"/>
      </w:pPr>
    </w:p>
    <w:p>
      <w:pPr>
        <w:spacing w:after="60" w:before="60"/>
      </w:pPr>
      <w:r>
        <w:rPr>
          <w:rFonts w:ascii="Calibri" w:cs="Calibri" w:eastAsia="Calibri" w:hAnsi="Calibri"/>
          <w:color w:val="4A5568"/>
          <w:sz w:val="22"/>
          <w:szCs w:val="22"/>
        </w:rPr>
        <w:t xml:space="preserve">The following uses are prohibited without exception. Each prohibition reflects a principle in the Identity Charter.</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Outlined circles — the marks are always solid fills, never strokes.</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Circles touching the connecting line — the optical gap is mandatory.</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Gradient fills of any kind.</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Drop shadows or glows applied to either mark.</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Rotation or distortion of either mark.</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Scaling the two circles of the Stewardship Mark to different sizes.</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Introducing any mark other than the Steward’s Mark and the Stewardship Mark.</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Mark colours outside the approved palette.</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Animated or motion treatments of either mark without explicit Charter review.</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FF8E7" w:val="clear"/>
            <w:tcMar>
              <w:top w:type="dxa" w:w="160"/>
              <w:left w:type="dxa" w:w="240"/>
              <w:bottom w:type="dxa" w:w="160"/>
              <w:right w:type="dxa" w:w="240"/>
            </w:tcMar>
          </w:tcPr>
          <w:p>
            <w:pPr>
              <w:spacing w:after="60" w:before="60"/>
            </w:pPr>
            <w:r>
              <w:rPr>
                <w:rFonts w:ascii="Calibri" w:cs="Calibri" w:eastAsia="Calibri" w:hAnsi="Calibri"/>
                <w:i/>
                <w:iCs/>
                <w:color w:val="1A2E4A"/>
                <w:sz w:val="21"/>
                <w:szCs w:val="21"/>
              </w:rPr>
              <w:t xml:space="preserve">When in doubt, consult the Identity Charter before the Identity Standards. The Charter establishes why these Standards exist.</w:t>
            </w:r>
          </w:p>
        </w:tc>
      </w:tr>
    </w:tbl>
    <w:p>
      <w:pPr>
        <w:spacing w:after="40" w:before="40"/>
      </w:pPr>
    </w:p>
    <w:p>
      <w:pPr>
        <w:spacing w:after="40" w:before="40"/>
      </w:pP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BD5E0"/>
        <w:sz w:val="18"/>
        <w:szCs w:val="18"/>
      </w:rPr>
      <w:t xml:space="preserve">LifeBook  ·  Identity Standards v1.0  ·  Confidential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pPr>
    <w:rPr>
      <w:rFonts w:ascii="Calibri" w:cs="Calibri" w:eastAsia="Calibri" w:hAnsi="Calibri"/>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e3144a1d0b2a6f2c8e7b65527fc82077c7740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2026-07-20T18:40:41.051Z</dcterms:created>
  <dcterms:modified xsi:type="dcterms:W3CDTF">2026-07-20T18:40:41.133Z</dcterms:modified>
</cp:coreProperties>
</file>

<file path=docProps/custom.xml><?xml version="1.0" encoding="utf-8"?>
<Properties xmlns="http://schemas.openxmlformats.org/officeDocument/2006/custom-properties" xmlns:vt="http://schemas.openxmlformats.org/officeDocument/2006/docPropsVTypes"/>
</file>