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single" w:color="auto" w:sz="4"/>
          <w:insideV w:val="single" w:color="auto" w:sz="4"/>
        </w:tblBorders>
      </w:tblPr>
      <w:tblGrid>
        <w:gridCol w:w="12240"/>
      </w:tblGrid>
      <w:tr>
        <w:tc>
          <w:tcPr>
            <w:tcW w:type="dxa" w:w="12240"/>
            <w:tcBorders>
              <w:top w:val="none" w:color="auto" w:sz="0"/>
              <w:left w:val="none" w:color="auto" w:sz="0"/>
              <w:bottom w:val="none" w:color="auto" w:sz="0"/>
              <w:right w:val="none" w:color="auto" w:sz="0"/>
            </w:tcBorders>
            <w:shd w:fill="1A2E4A" w:val="clear"/>
            <w:tcMar>
              <w:top w:type="dxa" w:w="0"/>
              <w:left w:type="dxa" w:w="0"/>
              <w:bottom w:type="dxa" w:w="0"/>
              <w:right w:type="dxa" w:w="0"/>
            </w:tcMar>
          </w:tcPr>
          <w:p>
            <w:pPr>
              <w:spacing w:after="0" w:before="2880"/>
            </w:pPr>
          </w:p>
          <w:p>
            <w:pPr>
              <w:spacing w:after="160" w:before="0"/>
              <w:jc w:val="center"/>
            </w:pPr>
            <w:r>
              <w:drawing>
                <wp:inline distT="0" distB="0" distL="0" distR="0">
                  <wp:extent cx="3048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800100"/>
                          </a:xfrm>
                          <a:prstGeom prst="rect">
                            <a:avLst/>
                          </a:prstGeom>
                        </pic:spPr>
                      </pic:pic>
                    </a:graphicData>
                  </a:graphic>
                </wp:inline>
              </w:drawing>
            </w:r>
          </w:p>
          <w:p>
            <w:pPr>
              <w:spacing w:after="80" w:before="0"/>
              <w:jc w:val="center"/>
            </w:pPr>
            <w:r>
              <w:rPr>
                <w:rFonts w:ascii="Calibri" w:cs="Calibri" w:eastAsia="Calibri" w:hAnsi="Calibri"/>
                <w:b/>
                <w:bCs/>
                <w:color w:val="FFF8E7"/>
                <w:sz w:val="64"/>
                <w:szCs w:val="64"/>
              </w:rPr>
              <w:t xml:space="preserve">Technical Handoff for Codex</w:t>
            </w:r>
          </w:p>
          <w:p>
            <w:pPr>
              <w:spacing w:after="0" w:before="0"/>
              <w:jc w:val="center"/>
            </w:pPr>
            <w:r>
              <w:rPr>
                <w:rFonts w:ascii="Calibri" w:cs="Calibri" w:eastAsia="Calibri" w:hAnsi="Calibri"/>
                <w:color w:val="D0E8E8"/>
                <w:sz w:val="36"/>
                <w:szCs w:val="36"/>
              </w:rPr>
              <w:t xml:space="preserve">Repository, Infrastructure, and Engineering Context</w:t>
            </w:r>
          </w:p>
          <w:p>
            <w:pPr>
              <w:spacing w:after="0" w:before="200"/>
              <w:jc w:val="center"/>
            </w:pPr>
            <w:r>
              <w:rPr>
                <w:rFonts w:ascii="Calibri" w:cs="Calibri" w:eastAsia="Calibri" w:hAnsi="Calibri"/>
                <w:color w:val="D0E8E8"/>
                <w:sz w:val="28"/>
                <w:szCs w:val="28"/>
              </w:rPr>
              <w:t xml:space="preserve">Version 1.0  ·  July 2026</w:t>
            </w:r>
          </w:p>
        </w:tc>
      </w:tr>
    </w:tbl>
    <w:p>
      <w:pPr>
        <w:sectPr>
          <w:pgSz w:w="12240" w:h="15840" w:orient="portrait"/>
          <w:pgMar w:top="0" w:right="0" w:bottom="0" w:left="0" w:header="708" w:footer="708" w:gutter="0"/>
          <w:pgNumType/>
          <w:docGrid w:linePitch="360"/>
        </w:sectPr>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01 — </w:t>
            </w:r>
            <w:r>
              <w:rPr>
                <w:rFonts w:ascii="Calibri" w:cs="Calibri" w:eastAsia="Calibri" w:hAnsi="Calibri"/>
                <w:b/>
                <w:bCs/>
                <w:color w:val="FFFFFF"/>
                <w:sz w:val="22"/>
                <w:szCs w:val="22"/>
              </w:rPr>
              <w:t xml:space="preserve">ENGINEERING OBJECTIVE</w:t>
            </w:r>
          </w:p>
        </w:tc>
      </w:tr>
    </w:tbl>
    <w:p>
      <w:pPr>
        <w:spacing w:after="160" w:before="0"/>
      </w:pPr>
    </w:p>
    <w:p>
      <w:pPr>
        <w:spacing w:after="120" w:before="0"/>
      </w:pPr>
      <w:r>
        <w:rPr>
          <w:rFonts w:ascii="Calibri" w:cs="Calibri" w:eastAsia="Calibri" w:hAnsi="Calibri"/>
          <w:color w:val="4A5568"/>
          <w:sz w:val="22"/>
          <w:szCs w:val="22"/>
        </w:rPr>
        <w:t xml:space="preserve">The LifeBook application guides participants through a structured life-story conversation and preserves meaningful memories with their approval. The engineering objective for the current phase is:</w:t>
      </w:r>
    </w:p>
    <w:p>
      <w:pPr>
        <w:spacing w:after="160" w:before="0"/>
      </w:pPr>
    </w:p>
    <w:p>
      <w:pPr>
        <w:shd w:fill="EBF4F4" w:val="clear"/>
        <w:spacing w:after="120" w:before="0"/>
        <w:ind w:left="240" w:right="240"/>
      </w:pPr>
      <w:r>
        <w:rPr>
          <w:rFonts w:ascii="Calibri" w:cs="Calibri" w:eastAsia="Calibri" w:hAnsi="Calibri"/>
          <w:b/>
          <w:bCs/>
          <w:color w:val="1A2E4A"/>
          <w:sz w:val="22"/>
          <w:szCs w:val="22"/>
        </w:rPr>
        <w:t xml:space="preserve">Threshold → Conversation → Meaningful memory identified → Participant review → Correction/approval → Memory kept</w:t>
      </w:r>
    </w:p>
    <w:p>
      <w:pPr>
        <w:spacing w:after="160" w:before="0"/>
      </w:pPr>
    </w:p>
    <w:p>
      <w:pPr>
        <w:spacing w:after="120" w:before="0"/>
      </w:pPr>
      <w:r>
        <w:rPr>
          <w:rFonts w:ascii="Calibri" w:cs="Calibri" w:eastAsia="Calibri" w:hAnsi="Calibri"/>
          <w:color w:val="4A5568"/>
          <w:sz w:val="22"/>
          <w:szCs w:val="22"/>
        </w:rPr>
        <w:t xml:space="preserve">Each step must be deliberately implemented and tested before moving to the next. No step should be skipped or approximated. The memory that is kept must reflect exactly what the participant approved.</w:t>
      </w:r>
    </w:p>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02 — </w:t>
            </w:r>
            <w:r>
              <w:rPr>
                <w:rFonts w:ascii="Calibri" w:cs="Calibri" w:eastAsia="Calibri" w:hAnsi="Calibri"/>
                <w:b/>
                <w:bCs/>
                <w:color w:val="FFFFFF"/>
                <w:sz w:val="22"/>
                <w:szCs w:val="22"/>
              </w:rPr>
              <w:t xml:space="preserve">REPOSITORY</w:t>
            </w:r>
          </w:p>
        </w:tc>
      </w:tr>
    </w:tbl>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rPr>
          <w:tblHeader/>
        </w:trPr>
        <w:tc>
          <w:tcPr>
            <w:tcW w:type="dxa" w:w="288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Field</w:t>
            </w:r>
          </w:p>
        </w:tc>
        <w:tc>
          <w:tcPr>
            <w:tcW w:type="dxa" w:w="576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Value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GitHub URL</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https://github.com/tracydeslaurier-cool/lifebookhq</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Primary branch</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main</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Local project path</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[Set by developer — typically ~/Projects/lifebookhq or equivalent]</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Language</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TypeScript (83%) · JavaScript (8%) · PLpgSQL (7%) · CSS (2%)</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Framework</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Next.js (App Router)</w:t>
            </w:r>
          </w:p>
        </w:tc>
      </w:tr>
    </w:tbl>
    <w:p>
      <w:pPr>
        <w:spacing w:after="160" w:before="0"/>
      </w:pPr>
    </w:p>
    <w:p>
      <w:pPr>
        <w:spacing w:after="120" w:before="0"/>
      </w:pPr>
      <w:r>
        <w:rPr>
          <w:rFonts w:ascii="Calibri" w:cs="Calibri" w:eastAsia="Calibri" w:hAnsi="Calibri"/>
          <w:color w:val="4A5568"/>
          <w:sz w:val="22"/>
          <w:szCs w:val="22"/>
        </w:rPr>
        <w:t xml:space="preserve">The repo contains CLAUDE.md (Codex instructions), AGENTS.md (agent context), IMPLEMENTATION_PLAN.md, STAGING_PLAN.md, and TECHNICAL_REVIEW.md. Read these before starting work on the codebase.</w:t>
      </w:r>
    </w:p>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03 — </w:t>
            </w:r>
            <w:r>
              <w:rPr>
                <w:rFonts w:ascii="Calibri" w:cs="Calibri" w:eastAsia="Calibri" w:hAnsi="Calibri"/>
                <w:b/>
                <w:bCs/>
                <w:color w:val="FFFFFF"/>
                <w:sz w:val="22"/>
                <w:szCs w:val="22"/>
              </w:rPr>
              <w:t xml:space="preserve">REPOSITORY STRUCTURE</w:t>
            </w:r>
          </w:p>
        </w:tc>
      </w:tr>
    </w:tbl>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rPr>
          <w:tblHeader/>
        </w:trPr>
        <w:tc>
          <w:tcPr>
            <w:tcW w:type="dxa" w:w="288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Field</w:t>
            </w:r>
          </w:p>
        </w:tc>
        <w:tc>
          <w:tcPr>
            <w:tcW w:type="dxa" w:w="576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Value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app/</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Next.js App Router — pages, layouts, API routes</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audition/</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Threshold experience — the entry point before conversation begins</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components/</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Shared React components</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db/migrations/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Supabase SQL migrations (PLpgSQL). Source of truth for database schema.</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foundation/</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Foundational prompts, identity context, and system instructions for Claude</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lib/</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Utility functions, Supabase client setup, shared logic</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public/</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Static assets</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scripts/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Development and maintenance scripts</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types/</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TypeScript type definitions</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middleware.ts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Next.js middleware — handles auth routing and session management</w:t>
            </w:r>
          </w:p>
        </w:tc>
      </w:tr>
    </w:tbl>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04 — </w:t>
            </w:r>
            <w:r>
              <w:rPr>
                <w:rFonts w:ascii="Calibri" w:cs="Calibri" w:eastAsia="Calibri" w:hAnsi="Calibri"/>
                <w:b/>
                <w:bCs/>
                <w:color w:val="FFFFFF"/>
                <w:sz w:val="22"/>
                <w:szCs w:val="22"/>
              </w:rPr>
              <w:t xml:space="preserve">DEPLOYMENT — VERCEL</w:t>
            </w:r>
          </w:p>
        </w:tc>
      </w:tr>
    </w:tbl>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rPr>
          <w:tblHeader/>
        </w:trPr>
        <w:tc>
          <w:tcPr>
            <w:tcW w:type="dxa" w:w="288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Field</w:t>
            </w:r>
          </w:p>
        </w:tc>
        <w:tc>
          <w:tcPr>
            <w:tcW w:type="dxa" w:w="576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Value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Production URL</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https://lifebookhq.vercel.app</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Platform</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Vercel (Next.js native deployment)</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Threshold URL</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https://lifebookhq.vercel.app/audition [confirm route in app/]</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Deploy trigger</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Push to main branch auto-deploys to production</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Preview deploys</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Every pull request generates a unique preview URL</w:t>
            </w:r>
          </w:p>
        </w:tc>
      </w:tr>
    </w:tbl>
    <w:p>
      <w:pPr>
        <w:spacing w:after="160" w:before="0"/>
      </w:pPr>
    </w:p>
    <w:p>
      <w:pPr>
        <w:shd w:fill="FFF8E7" w:val="clear"/>
        <w:spacing w:after="120" w:before="120"/>
        <w:ind w:left="180" w:right="180"/>
      </w:pPr>
      <w:r>
        <w:rPr>
          <w:rFonts w:ascii="Calibri" w:cs="Calibri" w:eastAsia="Calibri" w:hAnsi="Calibri"/>
          <w:color w:val="4A5568"/>
          <w:sz w:val="20"/>
          <w:szCs w:val="20"/>
        </w:rPr>
        <w:t xml:space="preserve">Threshold A/B/C variants — if staged variants exist, confirm their routes in the audition/ folder. The Discovery Partner should document these URLs once confirmed in the running application.</w:t>
      </w:r>
    </w:p>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05 — </w:t>
            </w:r>
            <w:r>
              <w:rPr>
                <w:rFonts w:ascii="Calibri" w:cs="Calibri" w:eastAsia="Calibri" w:hAnsi="Calibri"/>
                <w:b/>
                <w:bCs/>
                <w:color w:val="FFFFFF"/>
                <w:sz w:val="22"/>
                <w:szCs w:val="22"/>
              </w:rPr>
              <w:t xml:space="preserve">SUPABASE — RUNTIME BACKEND</w:t>
            </w:r>
          </w:p>
        </w:tc>
      </w:tr>
    </w:tbl>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rPr>
          <w:tblHeader/>
        </w:trPr>
        <w:tc>
          <w:tcPr>
            <w:tcW w:type="dxa" w:w="288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Field</w:t>
            </w:r>
          </w:p>
        </w:tc>
        <w:tc>
          <w:tcPr>
            <w:tcW w:type="dxa" w:w="576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Value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Project name</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LifeBookHQ</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Project ref</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qrdoebsoviksdaxnjyak</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Project URL</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https://qrdoebsoviksdaxnjyak.supabase.co</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Supabase dashboard</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https://supabase.com/dashboard/project/qrdoebsoviksdaxnjyak</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Region</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ca-central-1 (Canada Central)</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Status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ACTIVE_HEALTHY</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PostgreSQL</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17.6</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Tables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None yet — schema not yet migrated. Run migrations in db/migrations/ to initialize.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Edge Functions</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None deployed yet.</w:t>
            </w:r>
          </w:p>
        </w:tc>
      </w:tr>
    </w:tbl>
    <w:p>
      <w:pPr>
        <w:spacing w:after="160" w:before="0"/>
      </w:pPr>
    </w:p>
    <w:p>
      <w:pPr>
        <w:shd w:fill="FDECEA" w:val="clear"/>
        <w:spacing w:after="120" w:before="120"/>
        <w:ind w:left="180" w:right="180"/>
      </w:pPr>
      <w:r>
        <w:rPr>
          <w:rFonts w:ascii="Calibri" w:cs="Calibri" w:eastAsia="Calibri" w:hAnsi="Calibri"/>
          <w:color w:val="8B1A1A"/>
          <w:sz w:val="20"/>
          <w:szCs w:val="20"/>
        </w:rPr>
        <w:t xml:space="preserve">The database schema has not been migrated. The Supabase project is live but empty. Before any application feature can function, the migrations in db/migrations/ must be applied. Do not write application code that depends on tables that do not yet exist.</w:t>
      </w:r>
    </w:p>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06 — </w:t>
            </w:r>
            <w:r>
              <w:rPr>
                <w:rFonts w:ascii="Calibri" w:cs="Calibri" w:eastAsia="Calibri" w:hAnsi="Calibri"/>
                <w:b/>
                <w:bCs/>
                <w:color w:val="FFFFFF"/>
                <w:sz w:val="22"/>
                <w:szCs w:val="22"/>
              </w:rPr>
              <w:t xml:space="preserve">CONVERSATION PROMPTS AND CHAT IMPLEMENTATION</w:t>
            </w:r>
          </w:p>
        </w:tc>
      </w:tr>
    </w:tbl>
    <w:p>
      <w:pPr>
        <w:spacing w:after="160" w:before="0"/>
      </w:pPr>
    </w:p>
    <w:p>
      <w:pPr>
        <w:spacing w:after="120" w:before="0"/>
      </w:pPr>
      <w:r>
        <w:rPr>
          <w:rFonts w:ascii="Calibri" w:cs="Calibri" w:eastAsia="Calibri" w:hAnsi="Calibri"/>
          <w:color w:val="4A5568"/>
          <w:sz w:val="22"/>
          <w:szCs w:val="22"/>
        </w:rPr>
        <w:t xml:space="preserve">Based on the repository structure, the following locations are the expected homes for conversation-related code. Confirm each path before instructing Codex to edit these files.</w:t>
      </w:r>
    </w:p>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rPr>
          <w:tblHeader/>
        </w:trPr>
        <w:tc>
          <w:tcPr>
            <w:tcW w:type="dxa" w:w="288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Field</w:t>
            </w:r>
          </w:p>
        </w:tc>
        <w:tc>
          <w:tcPr>
            <w:tcW w:type="dxa" w:w="576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Value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Conversation prompts</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foundation/ — system prompts and identity context for the Claude conversation</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Chat implementation</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app/ or components/ — the UI and API route handling the conversation loop</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Memory identification logic</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lib/ or app/api/ — the code that identifies meaningful memories from conversation</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Memory review/save flow</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app/ — the participant review screen and approval/correction flow</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Supabase client</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lib/ — Supabase browser and server client initialization</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Auth/session middleware</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middleware.ts — controls access to protected routes</w:t>
            </w:r>
          </w:p>
        </w:tc>
      </w:tr>
    </w:tbl>
    <w:p>
      <w:pPr>
        <w:spacing w:after="160" w:before="0"/>
      </w:pPr>
    </w:p>
    <w:p>
      <w:pPr>
        <w:shd w:fill="FFF8E7" w:val="clear"/>
        <w:spacing w:after="120" w:before="120"/>
        <w:ind w:left="180" w:right="180"/>
      </w:pPr>
      <w:r>
        <w:rPr>
          <w:rFonts w:ascii="Calibri" w:cs="Calibri" w:eastAsia="Calibri" w:hAnsi="Calibri"/>
          <w:color w:val="4A5568"/>
          <w:sz w:val="20"/>
          <w:szCs w:val="20"/>
        </w:rPr>
        <w:t xml:space="preserve">Codex should read CLAUDE.md and AGENTS.md in the repo root before making any changes. These files contain the authoritative instructions for how Claude Code should interact with this codebase.</w:t>
      </w:r>
    </w:p>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07 — </w:t>
            </w:r>
            <w:r>
              <w:rPr>
                <w:rFonts w:ascii="Calibri" w:cs="Calibri" w:eastAsia="Calibri" w:hAnsi="Calibri"/>
                <w:b/>
                <w:bCs/>
                <w:color w:val="FFFFFF"/>
                <w:sz w:val="22"/>
                <w:szCs w:val="22"/>
              </w:rPr>
              <w:t xml:space="preserve">ENVIRONMENT VARIABLES</w:t>
            </w:r>
          </w:p>
        </w:tc>
      </w:tr>
    </w:tbl>
    <w:p>
      <w:pPr>
        <w:spacing w:after="160" w:before="0"/>
      </w:pPr>
    </w:p>
    <w:p>
      <w:pPr>
        <w:spacing w:after="120" w:before="0"/>
      </w:pPr>
      <w:r>
        <w:rPr>
          <w:rFonts w:ascii="Calibri" w:cs="Calibri" w:eastAsia="Calibri" w:hAnsi="Calibri"/>
          <w:color w:val="4A5568"/>
          <w:sz w:val="22"/>
          <w:szCs w:val="22"/>
        </w:rPr>
        <w:t xml:space="preserve">Values are stored in Vercel project settings and in a local .env.local file (never committed — see .gitignore). The names below are what Codex needs to reference; retrieve actual values from Vercel dashboard or from Tracy/Discovery Partner.</w:t>
      </w:r>
    </w:p>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rPr>
          <w:tblHeader/>
        </w:trPr>
        <w:tc>
          <w:tcPr>
            <w:tcW w:type="dxa" w:w="360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Variable Name</w:t>
            </w:r>
          </w:p>
        </w:tc>
        <w:tc>
          <w:tcPr>
            <w:tcW w:type="dxa" w:w="504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Purpose</w:t>
            </w:r>
          </w:p>
        </w:tc>
      </w:tr>
      <w:tr>
        <w:tc>
          <w:tcPr>
            <w:tcW w:type="dxa" w:w="360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NEXT_PUBLIC_SUPABASE_URL</w:t>
            </w:r>
          </w:p>
        </w:tc>
        <w:tc>
          <w:tcPr>
            <w:tcW w:type="dxa" w:w="504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Supabase project URL — safe to expose to browser</w:t>
            </w:r>
          </w:p>
        </w:tc>
      </w:tr>
      <w:tr>
        <w:tc>
          <w:tcPr>
            <w:tcW w:type="dxa" w:w="36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NEXT_PUBLIC_SUPABASE_ANON_KEY</w:t>
            </w:r>
          </w:p>
        </w:tc>
        <w:tc>
          <w:tcPr>
            <w:tcW w:type="dxa" w:w="504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Supabase anonymous (public) key — safe to expose to browser</w:t>
            </w:r>
          </w:p>
        </w:tc>
      </w:tr>
      <w:tr>
        <w:tc>
          <w:tcPr>
            <w:tcW w:type="dxa" w:w="360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SUPABASE_SERVICE_ROLE_KEY</w:t>
            </w:r>
          </w:p>
        </w:tc>
        <w:tc>
          <w:tcPr>
            <w:tcW w:type="dxa" w:w="504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Supabase service role key — server-side only, never expose to browser</w:t>
            </w:r>
          </w:p>
        </w:tc>
      </w:tr>
      <w:tr>
        <w:tc>
          <w:tcPr>
            <w:tcW w:type="dxa" w:w="360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SUPABASE_JWT_SECRET</w:t>
            </w:r>
          </w:p>
        </w:tc>
        <w:tc>
          <w:tcPr>
            <w:tcW w:type="dxa" w:w="504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JWT secret for verifying Supabase auth tokens server-side</w:t>
            </w:r>
          </w:p>
        </w:tc>
      </w:tr>
      <w:tr>
        <w:tc>
          <w:tcPr>
            <w:tcW w:type="dxa" w:w="360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ANTHROPIC_API_KEY</w:t>
            </w:r>
          </w:p>
        </w:tc>
        <w:tc>
          <w:tcPr>
            <w:tcW w:type="dxa" w:w="504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Anthropic API key for Claude conversation — server-side only</w:t>
            </w:r>
          </w:p>
        </w:tc>
      </w:tr>
    </w:tbl>
    <w:p>
      <w:pPr>
        <w:spacing w:after="160" w:before="0"/>
      </w:pPr>
    </w:p>
    <w:p>
      <w:pPr>
        <w:shd w:fill="FDECEA" w:val="clear"/>
        <w:spacing w:after="120" w:before="120"/>
        <w:ind w:left="180" w:right="180"/>
      </w:pPr>
      <w:r>
        <w:rPr>
          <w:rFonts w:ascii="Calibri" w:cs="Calibri" w:eastAsia="Calibri" w:hAnsi="Calibri"/>
          <w:color w:val="8B1A1A"/>
          <w:sz w:val="20"/>
          <w:szCs w:val="20"/>
        </w:rPr>
        <w:t xml:space="preserve">SUPABASE_SERVICE_ROLE_KEY and ANTHROPIC_API_KEY must never appear in client-side code, be logged, or be committed to the repository. Verify with Codex that all API calls using these keys are made from server-side routes only.</w:t>
      </w:r>
    </w:p>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08 — </w:t>
            </w:r>
            <w:r>
              <w:rPr>
                <w:rFonts w:ascii="Calibri" w:cs="Calibri" w:eastAsia="Calibri" w:hAnsi="Calibri"/>
                <w:b/>
                <w:bCs/>
                <w:color w:val="FFFFFF"/>
                <w:sz w:val="22"/>
                <w:szCs w:val="22"/>
              </w:rPr>
              <w:t xml:space="preserve">KNOWN STATE AND PROBLEMS</w:t>
            </w:r>
          </w:p>
        </w:tc>
      </w:tr>
    </w:tbl>
    <w:p>
      <w:pPr>
        <w:spacing w:after="160" w:before="0"/>
      </w:pPr>
    </w:p>
    <w:p>
      <w:pPr>
        <w:spacing w:after="120" w:before="0"/>
      </w:pPr>
      <w:r>
        <w:rPr>
          <w:rFonts w:ascii="Calibri" w:cs="Calibri" w:eastAsia="Calibri" w:hAnsi="Calibri"/>
          <w:color w:val="4A5568"/>
          <w:sz w:val="22"/>
          <w:szCs w:val="22"/>
        </w:rPr>
        <w:t xml:space="preserve">The following is the current known state of the application as of the date of this handoff. Codex should treat this as the starting point, not the finished state.</w:t>
      </w:r>
    </w:p>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rPr>
          <w:tblHeader/>
        </w:trPr>
        <w:tc>
          <w:tcPr>
            <w:tcW w:type="dxa" w:w="288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Field</w:t>
            </w:r>
          </w:p>
        </w:tc>
        <w:tc>
          <w:tcPr>
            <w:tcW w:type="dxa" w:w="576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Value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Database schema</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Not yet migrated. Supabase project is live but all tables are absent. First task: apply db/migrations/.</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Edge functions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None deployed. Any server-side logic requiring Supabase edge functions must be created and deployed.</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Threshold experience</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Located in audition/ — confirm whether the Threshold → Conversation flow is functional end-to-end or still being built.</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Memory pipeline</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It is not confirmed whether the memory identification → participant review → approval → save pipeline is implemented. This is the engineering objective.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Auth</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middleware.ts is present, suggesting auth routing exists. Confirm whether participant auth is fully functional or scaffolded only.</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Vercel A/B/C URLs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Threshold variant URLs (A/B/C) mentioned by Discovery Partner are not confirmed in the current repo structure. Codex should locate or create these routes.</w:t>
            </w:r>
          </w:p>
        </w:tc>
      </w:tr>
    </w:tbl>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09 — </w:t>
            </w:r>
            <w:r>
              <w:rPr>
                <w:rFonts w:ascii="Calibri" w:cs="Calibri" w:eastAsia="Calibri" w:hAnsi="Calibri"/>
                <w:b/>
                <w:bCs/>
                <w:color w:val="FFFFFF"/>
                <w:sz w:val="22"/>
                <w:szCs w:val="22"/>
              </w:rPr>
              <w:t xml:space="preserve">LOCAL DEVELOPMENT SETUP</w:t>
            </w:r>
          </w:p>
        </w:tc>
      </w:tr>
    </w:tbl>
    <w:p>
      <w:pPr>
        <w:spacing w:after="160" w:before="0"/>
      </w:pPr>
    </w:p>
    <w:p>
      <w:pPr>
        <w:spacing w:after="120" w:before="0"/>
      </w:pPr>
      <w:r>
        <w:rPr>
          <w:rFonts w:ascii="Calibri" w:cs="Calibri" w:eastAsia="Calibri" w:hAnsi="Calibri"/>
          <w:color w:val="4A5568"/>
          <w:sz w:val="22"/>
          <w:szCs w:val="22"/>
        </w:rPr>
        <w:t xml:space="preserve">To run the application locally after cloning:</w:t>
      </w:r>
    </w:p>
    <w:p>
      <w:pPr>
        <w:spacing w:after="160" w:before="0"/>
      </w:pPr>
    </w:p>
    <w:p>
      <w:pPr>
        <w:shd w:fill="F7F9FB" w:val="clear"/>
        <w:spacing w:after="60" w:before="0"/>
        <w:ind w:left="180" w:right="180"/>
      </w:pPr>
      <w:r>
        <w:rPr>
          <w:rFonts w:ascii="Courier New" w:cs="Courier New" w:eastAsia="Courier New" w:hAnsi="Courier New"/>
          <w:color w:val="1A2E4A"/>
          <w:sz w:val="18"/>
          <w:szCs w:val="18"/>
        </w:rPr>
        <w:t xml:space="preserve">git clone https://github.com/tracydeslaurier-cool/lifebookhq</w:t>
      </w:r>
    </w:p>
    <w:p>
      <w:pPr>
        <w:shd w:fill="F7F9FB" w:val="clear"/>
        <w:spacing w:after="60" w:before="0"/>
        <w:ind w:left="180" w:right="180"/>
      </w:pPr>
      <w:r>
        <w:rPr>
          <w:rFonts w:ascii="Courier New" w:cs="Courier New" w:eastAsia="Courier New" w:hAnsi="Courier New"/>
          <w:color w:val="1A2E4A"/>
          <w:sz w:val="18"/>
          <w:szCs w:val="18"/>
        </w:rPr>
        <w:t xml:space="preserve">cd lifebookhq</w:t>
      </w:r>
    </w:p>
    <w:p>
      <w:pPr>
        <w:shd w:fill="F7F9FB" w:val="clear"/>
        <w:spacing w:after="60" w:before="0"/>
        <w:ind w:left="180" w:right="180"/>
      </w:pPr>
      <w:r>
        <w:rPr>
          <w:rFonts w:ascii="Courier New" w:cs="Courier New" w:eastAsia="Courier New" w:hAnsi="Courier New"/>
          <w:color w:val="1A2E4A"/>
          <w:sz w:val="18"/>
          <w:szCs w:val="18"/>
        </w:rPr>
        <w:t xml:space="preserve">npm install</w:t>
      </w:r>
    </w:p>
    <w:p>
      <w:pPr>
        <w:shd w:fill="F7F9FB" w:val="clear"/>
        <w:spacing w:after="60" w:before="0"/>
        <w:ind w:left="180" w:right="180"/>
      </w:pPr>
      <w:r>
        <w:rPr>
          <w:rFonts w:ascii="Courier New" w:cs="Courier New" w:eastAsia="Courier New" w:hAnsi="Courier New"/>
          <w:color w:val="1A2E4A"/>
          <w:sz w:val="18"/>
          <w:szCs w:val="18"/>
        </w:rPr>
        <w:t xml:space="preserve">cp .env.example .env.local   # then fill in values from Vercel dashboard</w:t>
      </w:r>
    </w:p>
    <w:p>
      <w:pPr>
        <w:shd w:fill="F7F9FB" w:val="clear"/>
        <w:spacing w:after="180" w:before="0"/>
        <w:ind w:left="180" w:right="180"/>
      </w:pPr>
      <w:r>
        <w:rPr>
          <w:rFonts w:ascii="Courier New" w:cs="Courier New" w:eastAsia="Courier New" w:hAnsi="Courier New"/>
          <w:color w:val="1A2E4A"/>
          <w:sz w:val="18"/>
          <w:szCs w:val="18"/>
        </w:rPr>
        <w:t xml:space="preserve">npm run dev</w:t>
      </w:r>
    </w:p>
    <w:p>
      <w:pPr>
        <w:spacing w:after="120" w:before="0"/>
      </w:pPr>
      <w:r>
        <w:rPr>
          <w:rFonts w:ascii="Calibri" w:cs="Calibri" w:eastAsia="Calibri" w:hAnsi="Calibri"/>
          <w:color w:val="4A5568"/>
          <w:sz w:val="22"/>
          <w:szCs w:val="22"/>
        </w:rPr>
        <w:t xml:space="preserve">Open http://localhost:3000. To apply database migrations against the Supabase project, use the Supabase CLI:</w:t>
      </w:r>
    </w:p>
    <w:p>
      <w:pPr>
        <w:spacing w:after="160" w:before="0"/>
      </w:pPr>
    </w:p>
    <w:p>
      <w:pPr>
        <w:shd w:fill="F7F9FB" w:val="clear"/>
        <w:spacing w:after="60" w:before="0"/>
        <w:ind w:left="180" w:right="180"/>
      </w:pPr>
      <w:r>
        <w:rPr>
          <w:rFonts w:ascii="Courier New" w:cs="Courier New" w:eastAsia="Courier New" w:hAnsi="Courier New"/>
          <w:color w:val="1A2E4A"/>
          <w:sz w:val="18"/>
          <w:szCs w:val="18"/>
        </w:rPr>
        <w:t xml:space="preserve">npx supabase login</w:t>
      </w:r>
    </w:p>
    <w:p>
      <w:pPr>
        <w:shd w:fill="F7F9FB" w:val="clear"/>
        <w:spacing w:after="60" w:before="0"/>
        <w:ind w:left="180" w:right="180"/>
      </w:pPr>
      <w:r>
        <w:rPr>
          <w:rFonts w:ascii="Courier New" w:cs="Courier New" w:eastAsia="Courier New" w:hAnsi="Courier New"/>
          <w:color w:val="1A2E4A"/>
          <w:sz w:val="18"/>
          <w:szCs w:val="18"/>
        </w:rPr>
        <w:t xml:space="preserve">npx supabase link --project-ref qrdoebsoviksdaxnjyak</w:t>
      </w:r>
    </w:p>
    <w:p>
      <w:pPr>
        <w:shd w:fill="F7F9FB" w:val="clear"/>
        <w:spacing w:after="180" w:before="0"/>
        <w:ind w:left="180" w:right="180"/>
      </w:pPr>
      <w:r>
        <w:rPr>
          <w:rFonts w:ascii="Courier New" w:cs="Courier New" w:eastAsia="Courier New" w:hAnsi="Courier New"/>
          <w:color w:val="1A2E4A"/>
          <w:sz w:val="18"/>
          <w:szCs w:val="18"/>
        </w:rPr>
        <w:t xml:space="preserve">npx supabase db push</w:t>
      </w:r>
    </w:p>
    <w:p>
      <w:pPr>
        <w:spacing w:after="160" w:before="0"/>
      </w:pPr>
    </w:p>
    <w:p>
      <w:pPr>
        <w:spacing w:after="160" w:before="0"/>
      </w:pPr>
    </w:p>
    <w:p>
      <w:pPr>
        <w:pBdr>
          <w:bottom w:val="single" w:color="CBD5E0" w:sz="4"/>
        </w:pBdr>
        <w:spacing w:after="0" w:before="0"/>
      </w:pPr>
    </w:p>
    <w:p>
      <w:pPr>
        <w:spacing w:after="160" w:before="0"/>
      </w:pPr>
    </w:p>
    <w:tbl>
      <w:tblPr>
        <w:tblW w:type="dxa" w:w="8640"/>
        <w:tblBorders>
          <w:top w:val="none" w:color="auto" w:sz="0"/>
          <w:left w:val="none" w:color="auto" w:sz="0"/>
          <w:bottom w:val="none" w:color="auto" w:sz="0"/>
          <w:right w:val="none" w:color="auto" w:sz="0"/>
          <w:insideH w:val="single" w:color="auto" w:sz="4"/>
          <w:insideV w:val="single" w:color="auto" w:sz="4"/>
        </w:tblBorders>
      </w:tblPr>
      <w:tblGrid>
        <w:gridCol w:w="8640"/>
      </w:tblGrid>
      <w:tr>
        <w:tc>
          <w:tcPr>
            <w:tcW w:type="dxa" w:w="8640"/>
            <w:tcBorders>
              <w:top w:val="none" w:color="auto" w:sz="0"/>
              <w:left w:val="none" w:color="auto" w:sz="0"/>
              <w:bottom w:val="none" w:color="auto" w:sz="0"/>
              <w:right w:val="none" w:color="auto" w:sz="0"/>
            </w:tcBorders>
            <w:shd w:fill="1A2E4A" w:val="clear"/>
            <w:tcMar>
              <w:top w:type="dxa" w:w="60"/>
              <w:left w:type="dxa" w:w="120"/>
              <w:bottom w:type="dxa" w:w="60"/>
              <w:right w:type="dxa" w:w="120"/>
            </w:tcMar>
          </w:tcPr>
          <w:p>
            <w:pPr>
              <w:spacing w:after="0" w:before="0"/>
            </w:pPr>
            <w:r>
              <w:rPr>
                <w:rFonts w:ascii="Calibri" w:cs="Calibri" w:eastAsia="Calibri" w:hAnsi="Calibri"/>
                <w:b/>
                <w:bCs/>
                <w:color w:val="FFFFFF"/>
                <w:sz w:val="22"/>
                <w:szCs w:val="22"/>
              </w:rPr>
              <w:t xml:space="preserve">10 — </w:t>
            </w:r>
            <w:r>
              <w:rPr>
                <w:rFonts w:ascii="Calibri" w:cs="Calibri" w:eastAsia="Calibri" w:hAnsi="Calibri"/>
                <w:b/>
                <w:bCs/>
                <w:color w:val="FFFFFF"/>
                <w:sz w:val="22"/>
                <w:szCs w:val="22"/>
              </w:rPr>
              <w:t xml:space="preserve">DOCUMENTATION LOCATION</w:t>
            </w:r>
          </w:p>
        </w:tc>
      </w:tr>
    </w:tbl>
    <w:p>
      <w:pPr>
        <w:spacing w:after="160" w:before="0"/>
      </w:pPr>
    </w:p>
    <w:p>
      <w:pPr>
        <w:spacing w:after="120" w:before="0"/>
      </w:pPr>
      <w:r>
        <w:rPr>
          <w:rFonts w:ascii="Calibri" w:cs="Calibri" w:eastAsia="Calibri" w:hAnsi="Calibri"/>
          <w:color w:val="4A5568"/>
          <w:sz w:val="22"/>
          <w:szCs w:val="22"/>
        </w:rPr>
        <w:t xml:space="preserve">All LifeBook governance, identity, and operational documents are maintained in Google Drive under tdeslaurier@gmail.com. The canonical folder hierarchy is:</w:t>
      </w:r>
    </w:p>
    <w:p>
      <w:pPr>
        <w:spacing w:after="1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rPr>
          <w:tblHeader/>
        </w:trPr>
        <w:tc>
          <w:tcPr>
            <w:tcW w:type="dxa" w:w="288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Field</w:t>
            </w:r>
          </w:p>
        </w:tc>
        <w:tc>
          <w:tcPr>
            <w:tcW w:type="dxa" w:w="5760"/>
            <w:tcBorders>
              <w:top w:val="single" w:color="1A2E4A" w:sz="4"/>
              <w:left w:val="single" w:color="1A2E4A" w:sz="4"/>
              <w:bottom w:val="single" w:color="1A2E4A" w:sz="4"/>
              <w:right w:val="single" w:color="1A2E4A" w:sz="4"/>
            </w:tcBorders>
            <w:shd w:fill="1A2E4A"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Value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Google Drive root</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LifeBook/ (tdeslaurier@gmail.com)</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Governance documents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LifeBook → 01 Governance and Covenants</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Identity and brand assets</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LifeBook → 02 Identity and Brand</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Customer Discovery docs</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LifeBook → 03 Customer Discovery</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Technology documentation</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LifeBook → 05 Technology and Architecture</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This document</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color w:val="4A5568"/>
                <w:sz w:val="18"/>
                <w:szCs w:val="18"/>
              </w:rPr>
              <w:t xml:space="preserve">LifeBook → 05 Technology and Architecture</w:t>
            </w:r>
          </w:p>
        </w:tc>
      </w:tr>
      <w:tr>
        <w:tc>
          <w:tcPr>
            <w:tcW w:type="dxa" w:w="288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Supabase dashboard</w:t>
            </w:r>
          </w:p>
        </w:tc>
        <w:tc>
          <w:tcPr>
            <w:tcW w:type="dxa" w:w="5760"/>
            <w:tcBorders>
              <w:top w:val="single" w:color="CBD5E0" w:sz="4"/>
              <w:left w:val="single" w:color="CBD5E0" w:sz="4"/>
              <w:bottom w:val="single" w:color="CBD5E0" w:sz="4"/>
              <w:right w:val="single" w:color="CBD5E0" w:sz="4"/>
            </w:tcBorders>
            <w:shd w:fill="F7F9FB"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https://supabase.com/dashboard/project/qrdoebsoviksdaxnjyak</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alibri" w:cs="Calibri" w:eastAsia="Calibri" w:hAnsi="Calibri"/>
                <w:b/>
                <w:bCs/>
                <w:color w:val="1A2E4A"/>
                <w:sz w:val="18"/>
                <w:szCs w:val="18"/>
              </w:rPr>
              <w:t xml:space="preserve">Vercel dashboard</w:t>
            </w:r>
          </w:p>
        </w:tc>
        <w:tc>
          <w:tcPr>
            <w:tcW w:type="dxa" w:w="5760"/>
            <w:tcBorders>
              <w:top w:val="single" w:color="CBD5E0" w:sz="4"/>
              <w:left w:val="single" w:color="CBD5E0" w:sz="4"/>
              <w:bottom w:val="single" w:color="CBD5E0" w:sz="4"/>
              <w:right w:val="single" w:color="CBD5E0" w:sz="4"/>
            </w:tcBorders>
            <w:shd w:fill="FFFFFF" w:val="clear"/>
            <w:tcMar>
              <w:top w:type="dxa" w:w="60"/>
              <w:left w:type="dxa" w:w="100"/>
              <w:bottom w:type="dxa" w:w="60"/>
              <w:right w:type="dxa" w:w="100"/>
            </w:tcMar>
          </w:tcPr>
          <w:p>
            <w:pPr>
              <w:spacing w:after="0" w:before="0"/>
            </w:pPr>
            <w:r>
              <w:rPr>
                <w:rFonts w:ascii="Courier New" w:cs="Courier New" w:eastAsia="Courier New" w:hAnsi="Courier New"/>
                <w:color w:val="1A2E4A"/>
                <w:sz w:val="18"/>
                <w:szCs w:val="18"/>
              </w:rPr>
              <w:t xml:space="preserve">https://vercel.com/dashboard (search: lifebookhq)</w:t>
            </w:r>
          </w:p>
        </w:tc>
      </w:tr>
    </w:tbl>
    <w:p>
      <w:pPr>
        <w:spacing w:after="160" w:before="0"/>
      </w:pPr>
    </w:p>
    <w:p>
      <w:pPr>
        <w:shd w:fill="FFF8E7" w:val="clear"/>
        <w:spacing w:after="120" w:before="120"/>
        <w:ind w:left="180" w:right="180"/>
      </w:pPr>
      <w:r>
        <w:rPr>
          <w:rFonts w:ascii="Calibri" w:cs="Calibri" w:eastAsia="Calibri" w:hAnsi="Calibri"/>
          <w:color w:val="4A5568"/>
          <w:sz w:val="20"/>
          <w:szCs w:val="20"/>
        </w:rPr>
        <w:t xml:space="preserve">GitHub (https://github.com/tracydeslaurier-cool/lifebookhq) is the canonical source for all application code. Google Drive is the canonical source for all governance and brand documentation. These two repositories serve different purposes and should not be conflated.</w:t>
      </w:r>
    </w:p>
    <w:p>
      <w:pPr>
        <w:spacing w:after="160" w:before="0"/>
      </w:pPr>
    </w:p>
    <w:p>
      <w:pPr>
        <w:spacing w:after="160" w:before="0"/>
      </w:pPr>
    </w:p>
    <w:p>
      <w:pPr>
        <w:pBdr>
          <w:bottom w:val="single" w:color="CBD5E0" w:sz="4"/>
        </w:pBdr>
        <w:spacing w:after="0" w:before="0"/>
      </w:pPr>
    </w:p>
    <w:p>
      <w:pPr>
        <w:spacing w:after="160" w:before="0"/>
      </w:pPr>
    </w:p>
    <w:p>
      <w:pPr>
        <w:spacing w:after="0" w:before="1440"/>
      </w:pPr>
    </w:p>
    <w:p>
      <w:pPr>
        <w:spacing w:after="160" w:before="160"/>
        <w:jc w:val="center"/>
      </w:pPr>
      <w:r>
        <w:drawing>
          <wp:inline distT="0" distB="0" distL="0" distR="0">
            <wp:extent cx="2286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952500"/>
                    </a:xfrm>
                    <a:prstGeom prst="rect">
                      <a:avLst/>
                    </a:prstGeom>
                  </pic:spPr>
                </pic:pic>
              </a:graphicData>
            </a:graphic>
          </wp:inline>
        </w:drawing>
      </w: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pBdr>
      <w:spacing w:after="0" w:before="80"/>
      <w:jc w:val="center"/>
    </w:pPr>
    <w:r>
      <w:rPr>
        <w:rFonts w:ascii="Calibri" w:cs="Calibri" w:eastAsia="Calibri" w:hAnsi="Calibri"/>
        <w:color w:val="CBD5E0"/>
        <w:sz w:val="18"/>
        <w:szCs w:val="18"/>
      </w:rPr>
      <w:t xml:space="preserve">LifeBook — Technical Handoff for Codex — </w:t>
    </w:r>
    <w:r>
      <w:rPr>
        <w:rFonts w:ascii="Calibri" w:cs="Calibri" w:eastAsia="Calibri" w:hAnsi="Calibri"/>
        <w:color w:val="CBD5E0"/>
        <w:sz w:val="18"/>
        <w:szCs w:val="18"/>
      </w:rPr>
      <w:fldChar w:fldCharType="begin"/>
      <w:instrText xml:space="preserve">PAGE</w:instrText>
      <w:fldChar w:fldCharType="separate"/>
      <w:fldChar w:fldCharType="end"/>
    </w:r>
    <w:r>
      <w:rPr>
        <w:rFonts w:ascii="Calibri" w:cs="Calibri" w:eastAsia="Calibri" w:hAnsi="Calibri"/>
        <w:color w:val="CBD5E0"/>
        <w:sz w:val="18"/>
        <w:szCs w:val="18"/>
      </w:rPr>
      <w:t xml:space="preserve"> of </w:t>
    </w:r>
    <w:r>
      <w:rPr>
        <w:rFonts w:ascii="Calibri" w:cs="Calibri" w:eastAsia="Calibri" w:hAnsi="Calibri"/>
        <w:color w:val="CBD5E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e3144a1d0b2a6f2c8e7b65527fc82077c7740d.png"/><Relationship Id="rId9" Type="http://schemas.openxmlformats.org/officeDocument/2006/relationships/image" Target="media/501741614baa551f1a5ccb5914ed38ed54ad87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2026-07-20T18:58:25.164Z</dcterms:created>
  <dcterms:modified xsi:type="dcterms:W3CDTF">2026-07-20T18:58:25.168Z</dcterms:modified>
</cp:coreProperties>
</file>

<file path=docProps/custom.xml><?xml version="1.0" encoding="utf-8"?>
<Properties xmlns="http://schemas.openxmlformats.org/officeDocument/2006/custom-properties" xmlns:vt="http://schemas.openxmlformats.org/officeDocument/2006/docPropsVTypes"/>
</file>