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Pr>
      <w:r>
        <w:t>配置流程</w:t>
      </w:r>
    </w:p>
    <w:p>
      <w:pPr>
        <w:keepNext w:val="0"/>
        <w:keepLines w:val="0"/>
        <w:widowControl/>
        <w:suppressLineNumbers w:val="0"/>
        <w:jc w:val="left"/>
      </w:pPr>
      <w:r>
        <w:rPr>
          <w:rFonts w:ascii="宋体" w:hAnsi="宋体" w:eastAsia="宋体" w:cs="宋体"/>
          <w:kern w:val="0"/>
          <w:sz w:val="24"/>
          <w:szCs w:val="24"/>
          <w:lang w:val="en-US" w:eastAsia="zh-CN" w:bidi="ar"/>
        </w:rPr>
        <w:t>根据如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"https://support.huawei.com/view/contentview/getFileStream?mid=SUPE_DOC&amp;viewNid=EDOC1000070183&amp;nid=EDOC1000070183&amp;partNo=j006&amp;type=htm" \l "it_60_51_000042_top_mMcCpPsS_fig_02"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图3-1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所示流程，完成云资源的接入与划分。流程中所示任务说明如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"https://support.huawei.com/view/contentview/getFileStream?mid=SUPE_DOC&amp;viewNid=EDOC1000070183&amp;nid=EDOC1000070183&amp;partNo=j006&amp;type=htm" \l "it_60_51_000042_top_mMcCpPsS_tab_02"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表3-1</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所示。</w:t>
      </w:r>
    </w:p>
    <w:p>
      <w:pPr>
        <w:keepNext w:val="0"/>
        <w:keepLines w:val="0"/>
        <w:widowControl/>
        <w:suppressLineNumbers w:val="0"/>
        <w:jc w:val="left"/>
      </w:pPr>
      <w:bookmarkStart w:id="0" w:name="it_60_51_000042_top__it_60_51_000042_top_mMcCpPsS_fig_02"/>
      <w:bookmarkEnd w:id="0"/>
      <w:bookmarkStart w:id="1" w:name="it_60_51_000042_top_mMcCpPsS_fig_02"/>
      <w:bookmarkEnd w:id="1"/>
      <w:r>
        <w:rPr>
          <w:rFonts w:ascii="宋体" w:hAnsi="宋体" w:eastAsia="宋体" w:cs="宋体"/>
          <w:kern w:val="0"/>
          <w:sz w:val="24"/>
          <w:szCs w:val="24"/>
          <w:lang w:val="en-US" w:eastAsia="zh-CN" w:bidi="ar"/>
        </w:rPr>
        <w:t xml:space="preserve">图3-1  配置流程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3733800" cy="3914775"/>
            <wp:effectExtent l="0" t="0" r="0"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4"/>
                    <a:stretch>
                      <a:fillRect/>
                    </a:stretch>
                  </pic:blipFill>
                  <pic:spPr>
                    <a:xfrm>
                      <a:off x="0" y="0"/>
                      <a:ext cx="3733800" cy="3914775"/>
                    </a:xfrm>
                    <a:prstGeom prst="rect">
                      <a:avLst/>
                    </a:prstGeom>
                    <a:noFill/>
                    <a:ln w="9525">
                      <a:noFill/>
                    </a:ln>
                  </pic:spPr>
                </pic:pic>
              </a:graphicData>
            </a:graphic>
          </wp:inline>
        </w:drawing>
      </w:r>
    </w:p>
    <w:p>
      <w:pPr>
        <w:keepNext w:val="0"/>
        <w:keepLines w:val="0"/>
        <w:widowControl/>
        <w:suppressLineNumbers w:val="0"/>
        <w:jc w:val="left"/>
      </w:pPr>
      <w:bookmarkStart w:id="2" w:name="it_60_51_000042_top__it_60_51_000042_top_mMcCpPsS_tab_02"/>
      <w:bookmarkEnd w:id="2"/>
      <w:bookmarkStart w:id="3" w:name="it_60_51_000042_top_mMcCpPsS_tab_02"/>
      <w:bookmarkEnd w:id="3"/>
      <w:r>
        <w:rPr>
          <w:rFonts w:ascii="宋体" w:hAnsi="宋体" w:eastAsia="宋体" w:cs="宋体"/>
          <w:kern w:val="0"/>
          <w:sz w:val="24"/>
          <w:szCs w:val="24"/>
          <w:lang w:val="en-US" w:eastAsia="zh-CN" w:bidi="ar"/>
        </w:rPr>
        <w:t>表3-1  任务说明</w:t>
      </w:r>
    </w:p>
    <w:tbl>
      <w:tblPr>
        <w:tblW w:w="0" w:type="auto"/>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266"/>
        <w:gridCol w:w="5262"/>
        <w:gridCol w:w="19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Header/>
          <w:tblCellSpacing w:w="0" w:type="dxa"/>
        </w:trPr>
        <w:tc>
          <w:tcPr>
            <w:tcW w:w="750" w:type="pct"/>
            <w:shd w:val="clear"/>
            <w:vAlign w:val="top"/>
          </w:tcPr>
          <w:p>
            <w:pPr>
              <w:pStyle w:val="4"/>
              <w:keepNext w:val="0"/>
              <w:keepLines w:val="0"/>
              <w:widowControl/>
              <w:suppressLineNumbers w:val="0"/>
              <w:jc w:val="center"/>
            </w:pPr>
            <w:r>
              <w:rPr>
                <w:b/>
              </w:rPr>
              <w:t>任务</w:t>
            </w:r>
          </w:p>
        </w:tc>
        <w:tc>
          <w:tcPr>
            <w:tcW w:w="3116" w:type="pct"/>
            <w:shd w:val="clear"/>
            <w:vAlign w:val="top"/>
          </w:tcPr>
          <w:p>
            <w:pPr>
              <w:pStyle w:val="4"/>
              <w:keepNext w:val="0"/>
              <w:keepLines w:val="0"/>
              <w:widowControl/>
              <w:suppressLineNumbers w:val="0"/>
              <w:jc w:val="center"/>
            </w:pPr>
            <w:r>
              <w:rPr>
                <w:b/>
              </w:rPr>
              <w:t>说明</w:t>
            </w:r>
          </w:p>
        </w:tc>
        <w:tc>
          <w:tcPr>
            <w:tcW w:w="1133" w:type="pct"/>
            <w:shd w:val="clear"/>
            <w:vAlign w:val="top"/>
          </w:tcPr>
          <w:p>
            <w:pPr>
              <w:pStyle w:val="4"/>
              <w:keepNext w:val="0"/>
              <w:keepLines w:val="0"/>
              <w:widowControl/>
              <w:suppressLineNumbers w:val="0"/>
              <w:jc w:val="center"/>
            </w:pPr>
            <w:r>
              <w:rPr>
                <w:b/>
              </w:rPr>
              <w:t>界面入口</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60" w:type="dxa"/>
            <w:left w:w="60" w:type="dxa"/>
            <w:bottom w:w="60" w:type="dxa"/>
            <w:right w:w="60" w:type="dxa"/>
          </w:tblCellMar>
        </w:tblPrEx>
        <w:trPr>
          <w:tblCellSpacing w:w="0" w:type="dxa"/>
        </w:trPr>
        <w:tc>
          <w:tcPr>
            <w:tcW w:w="750" w:type="pct"/>
            <w:shd w:val="clear"/>
            <w:vAlign w:val="top"/>
          </w:tcPr>
          <w:p>
            <w:pPr>
              <w:pStyle w:val="4"/>
              <w:keepNext w:val="0"/>
              <w:keepLines w:val="0"/>
              <w:widowControl/>
              <w:suppressLineNumbers w:val="0"/>
            </w:pPr>
            <w:r>
              <w:t>接入云资源池</w:t>
            </w:r>
          </w:p>
        </w:tc>
        <w:tc>
          <w:tcPr>
            <w:tcW w:w="3116" w:type="pct"/>
            <w:shd w:val="clear"/>
            <w:vAlign w:val="top"/>
          </w:tcPr>
          <w:p>
            <w:pPr>
              <w:pStyle w:val="4"/>
              <w:keepNext w:val="0"/>
              <w:keepLines w:val="0"/>
              <w:widowControl/>
              <w:suppressLineNumbers w:val="0"/>
            </w:pPr>
            <w:r>
              <w:t>将云资源池接入ServiceCenter，便于统一管理和使用云资源池中的资源。一个云资源池只能被接入一个ServiceCenter中，否则会造成系统异常。</w:t>
            </w:r>
          </w:p>
          <w:p>
            <w:pPr>
              <w:keepNext w:val="0"/>
              <w:keepLines w:val="0"/>
              <w:widowControl/>
              <w:suppressLineNumbers w:val="0"/>
              <w:jc w:val="left"/>
            </w:pPr>
            <w:r>
              <w:rPr>
                <w:rFonts w:ascii="宋体" w:hAnsi="宋体" w:eastAsia="宋体" w:cs="宋体"/>
                <w:kern w:val="0"/>
                <w:sz w:val="24"/>
                <w:szCs w:val="24"/>
                <w:lang w:val="en-US" w:eastAsia="zh-CN" w:bidi="ar"/>
              </w:rPr>
              <w:t xml:space="preserve">说明： </w:t>
            </w:r>
          </w:p>
          <w:p>
            <w:pPr>
              <w:pStyle w:val="4"/>
              <w:keepNext w:val="0"/>
              <w:keepLines w:val="0"/>
              <w:widowControl/>
              <w:suppressLineNumbers w:val="0"/>
            </w:pPr>
            <w:r>
              <w:t>接入时使用的对接用户，用户名为“FMRest”，默认密码为“Huawei@CLOUD8!”。</w:t>
            </w:r>
          </w:p>
        </w:tc>
        <w:tc>
          <w:tcPr>
            <w:tcW w:w="1133" w:type="pct"/>
            <w:shd w:val="clear"/>
            <w:vAlign w:val="top"/>
          </w:tcPr>
          <w:p>
            <w:pPr>
              <w:pStyle w:val="4"/>
              <w:keepNext w:val="0"/>
              <w:keepLines w:val="0"/>
              <w:widowControl/>
              <w:suppressLineNumbers w:val="0"/>
            </w:pPr>
            <w:r>
              <w:t>“服务 &gt; 云资源池”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60" w:type="dxa"/>
            <w:left w:w="60" w:type="dxa"/>
            <w:bottom w:w="60" w:type="dxa"/>
            <w:right w:w="60" w:type="dxa"/>
          </w:tblCellMar>
        </w:tblPrEx>
        <w:trPr>
          <w:tblCellSpacing w:w="0" w:type="dxa"/>
        </w:trPr>
        <w:tc>
          <w:tcPr>
            <w:tcW w:w="750" w:type="pct"/>
            <w:shd w:val="clear"/>
            <w:vAlign w:val="top"/>
          </w:tcPr>
          <w:p>
            <w:pPr>
              <w:pStyle w:val="4"/>
              <w:keepNext w:val="0"/>
              <w:keepLines w:val="0"/>
              <w:widowControl/>
              <w:suppressLineNumbers w:val="0"/>
            </w:pPr>
            <w:r>
              <w:t>创建VDC</w:t>
            </w:r>
          </w:p>
        </w:tc>
        <w:tc>
          <w:tcPr>
            <w:tcW w:w="3116" w:type="pct"/>
            <w:shd w:val="clear"/>
            <w:vAlign w:val="top"/>
          </w:tcPr>
          <w:p>
            <w:pPr>
              <w:pStyle w:val="4"/>
              <w:keepNext w:val="0"/>
              <w:keepLines w:val="0"/>
              <w:widowControl/>
              <w:suppressLineNumbers w:val="0"/>
            </w:pPr>
            <w:r>
              <w:t>VDC（Virtual Data Centers）是在ServiceCenter中使用虚拟资源的单位。例如，一个公司拥有所有云资源，每个部门分得一个VDC，VDC中包含这个部门可以使用的虚拟资源，包括计算资源、存储资源和网络资源。</w:t>
            </w:r>
          </w:p>
        </w:tc>
        <w:tc>
          <w:tcPr>
            <w:tcW w:w="1133" w:type="pct"/>
            <w:shd w:val="clear"/>
            <w:vAlign w:val="top"/>
          </w:tcPr>
          <w:p>
            <w:pPr>
              <w:pStyle w:val="4"/>
              <w:keepNext w:val="0"/>
              <w:keepLines w:val="0"/>
              <w:widowControl/>
              <w:suppressLineNumbers w:val="0"/>
            </w:pPr>
            <w:r>
              <w:t>“VDC &gt; VDC管理”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750" w:type="pct"/>
            <w:shd w:val="clear"/>
            <w:vAlign w:val="top"/>
          </w:tcPr>
          <w:p>
            <w:pPr>
              <w:pStyle w:val="4"/>
              <w:keepNext w:val="0"/>
              <w:keepLines w:val="0"/>
              <w:widowControl/>
              <w:suppressLineNumbers w:val="0"/>
            </w:pPr>
            <w:r>
              <w:t>为VDC增加管理员</w:t>
            </w:r>
          </w:p>
        </w:tc>
        <w:tc>
          <w:tcPr>
            <w:tcW w:w="3116" w:type="pct"/>
            <w:shd w:val="clear"/>
            <w:vAlign w:val="top"/>
          </w:tcPr>
          <w:p>
            <w:pPr>
              <w:pStyle w:val="4"/>
              <w:keepNext w:val="0"/>
              <w:keepLines w:val="0"/>
              <w:widowControl/>
              <w:suppressLineNumbers w:val="0"/>
            </w:pPr>
            <w:r>
              <w:t>为VDC分配管理员，使之拥有VDC的管理权限，例如审批VDC内的资源申请。</w:t>
            </w:r>
          </w:p>
        </w:tc>
        <w:tc>
          <w:tcPr>
            <w:tcW w:w="1133" w:type="pct"/>
            <w:shd w:val="clear"/>
            <w:vAlign w:val="top"/>
          </w:tcPr>
          <w:p>
            <w:pPr>
              <w:pStyle w:val="4"/>
              <w:keepNext w:val="0"/>
              <w:keepLines w:val="0"/>
              <w:widowControl/>
              <w:suppressLineNumbers w:val="0"/>
            </w:pPr>
            <w:r>
              <w:t>“VDC &gt; VDC管理”，选择“更多 &gt; 成员管理”</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750" w:type="pct"/>
            <w:shd w:val="clear"/>
            <w:vAlign w:val="top"/>
          </w:tcPr>
          <w:p>
            <w:pPr>
              <w:pStyle w:val="4"/>
              <w:keepNext w:val="0"/>
              <w:keepLines w:val="0"/>
              <w:widowControl/>
              <w:suppressLineNumbers w:val="0"/>
            </w:pPr>
            <w:r>
              <w:t>创建VDC服务</w:t>
            </w:r>
          </w:p>
        </w:tc>
        <w:tc>
          <w:tcPr>
            <w:tcW w:w="3116" w:type="pct"/>
            <w:shd w:val="clear"/>
            <w:vAlign w:val="top"/>
          </w:tcPr>
          <w:p>
            <w:pPr>
              <w:pStyle w:val="4"/>
              <w:keepNext w:val="0"/>
              <w:keepLines w:val="0"/>
              <w:widowControl/>
              <w:suppressLineNumbers w:val="0"/>
            </w:pPr>
            <w:r>
              <w:t>ServiceCenter提供服务申请方式分配VDC资源。通过管理员创建VDC服务，VDC管理员申请VDC服务方式完成VDC资源发放。创建VDC服务是指管理员按照资源分配规划创建VDC服务供租户申请的过程。</w:t>
            </w:r>
          </w:p>
        </w:tc>
        <w:tc>
          <w:tcPr>
            <w:tcW w:w="1133" w:type="pct"/>
            <w:shd w:val="clear"/>
            <w:vAlign w:val="top"/>
          </w:tcPr>
          <w:p>
            <w:pPr>
              <w:pStyle w:val="4"/>
              <w:keepNext w:val="0"/>
              <w:keepLines w:val="0"/>
              <w:widowControl/>
              <w:suppressLineNumbers w:val="0"/>
            </w:pPr>
            <w:r>
              <w:t>“服务 &gt; 服务目录”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60" w:type="dxa"/>
            <w:left w:w="60" w:type="dxa"/>
            <w:bottom w:w="60" w:type="dxa"/>
            <w:right w:w="60" w:type="dxa"/>
          </w:tblCellMar>
        </w:tblPrEx>
        <w:trPr>
          <w:tblCellSpacing w:w="0" w:type="dxa"/>
        </w:trPr>
        <w:tc>
          <w:tcPr>
            <w:tcW w:w="750" w:type="pct"/>
            <w:shd w:val="clear"/>
            <w:vAlign w:val="top"/>
          </w:tcPr>
          <w:p>
            <w:pPr>
              <w:pStyle w:val="4"/>
              <w:keepNext w:val="0"/>
              <w:keepLines w:val="0"/>
              <w:widowControl/>
              <w:suppressLineNumbers w:val="0"/>
            </w:pPr>
            <w:r>
              <w:t>租户申请VDC服务</w:t>
            </w:r>
          </w:p>
        </w:tc>
        <w:tc>
          <w:tcPr>
            <w:tcW w:w="3116" w:type="pct"/>
            <w:shd w:val="clear"/>
            <w:vAlign w:val="top"/>
          </w:tcPr>
          <w:p>
            <w:pPr>
              <w:pStyle w:val="4"/>
              <w:keepNext w:val="0"/>
              <w:keepLines w:val="0"/>
              <w:widowControl/>
              <w:suppressLineNumbers w:val="0"/>
            </w:pPr>
            <w:r>
              <w:t>管理员创建好VDC服务后，需要租户在租户视图上申请VDC服务。</w:t>
            </w:r>
          </w:p>
        </w:tc>
        <w:tc>
          <w:tcPr>
            <w:tcW w:w="1133" w:type="pct"/>
            <w:shd w:val="clear"/>
            <w:vAlign w:val="top"/>
          </w:tcPr>
          <w:p>
            <w:pPr>
              <w:pStyle w:val="4"/>
              <w:keepNext w:val="0"/>
              <w:keepLines w:val="0"/>
              <w:widowControl/>
              <w:suppressLineNumbers w:val="0"/>
            </w:pPr>
            <w:r>
              <w:t>需要在租户视图上操作：</w:t>
            </w:r>
          </w:p>
          <w:p>
            <w:pPr>
              <w:pStyle w:val="4"/>
              <w:keepNext w:val="0"/>
              <w:keepLines w:val="0"/>
              <w:widowControl/>
              <w:suppressLineNumbers w:val="0"/>
            </w:pPr>
            <w:r>
              <w:t>“服务 &gt; 服务目录”</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60" w:type="dxa"/>
            <w:left w:w="60" w:type="dxa"/>
            <w:bottom w:w="60" w:type="dxa"/>
            <w:right w:w="60" w:type="dxa"/>
          </w:tblCellMar>
        </w:tblPrEx>
        <w:trPr>
          <w:tblCellSpacing w:w="0" w:type="dxa"/>
        </w:trPr>
        <w:tc>
          <w:tcPr>
            <w:tcW w:w="750" w:type="pct"/>
            <w:shd w:val="clear"/>
            <w:vAlign w:val="top"/>
          </w:tcPr>
          <w:p>
            <w:pPr>
              <w:pStyle w:val="4"/>
              <w:keepNext w:val="0"/>
              <w:keepLines w:val="0"/>
              <w:widowControl/>
              <w:suppressLineNumbers w:val="0"/>
            </w:pPr>
            <w:r>
              <w:t>审批VDC服务</w:t>
            </w:r>
          </w:p>
        </w:tc>
        <w:tc>
          <w:tcPr>
            <w:tcW w:w="3116" w:type="pct"/>
            <w:shd w:val="clear"/>
            <w:vAlign w:val="top"/>
          </w:tcPr>
          <w:p>
            <w:pPr>
              <w:pStyle w:val="4"/>
              <w:keepNext w:val="0"/>
              <w:keepLines w:val="0"/>
              <w:widowControl/>
              <w:suppressLineNumbers w:val="0"/>
            </w:pPr>
            <w:r>
              <w:t>管理员审批完成后系统自动完成VDC资源的发放。</w:t>
            </w:r>
          </w:p>
        </w:tc>
        <w:tc>
          <w:tcPr>
            <w:tcW w:w="1133" w:type="pct"/>
            <w:shd w:val="clear"/>
            <w:vAlign w:val="top"/>
          </w:tcPr>
          <w:p>
            <w:pPr>
              <w:pStyle w:val="4"/>
              <w:keepNext w:val="0"/>
              <w:keepLines w:val="0"/>
              <w:widowControl/>
              <w:suppressLineNumbers w:val="0"/>
            </w:pPr>
            <w:r>
              <w:t>“服务 &gt; 待办审批”</w:t>
            </w:r>
          </w:p>
        </w:tc>
      </w:tr>
    </w:tbl>
    <w:p>
      <w:pPr>
        <w:pStyle w:val="2"/>
        <w:keepNext w:val="0"/>
        <w:keepLines w:val="0"/>
        <w:widowControl/>
        <w:suppressLineNumbers w:val="0"/>
      </w:pPr>
      <w:bookmarkStart w:id="4" w:name="it_90_51_000023"/>
      <w:bookmarkEnd w:id="4"/>
      <w:r>
        <w:t>3.2  物理机的接入与分配</w:t>
      </w:r>
    </w:p>
    <w:p>
      <w:pPr>
        <w:pStyle w:val="3"/>
        <w:keepNext w:val="0"/>
        <w:keepLines w:val="0"/>
        <w:widowControl/>
        <w:suppressLineNumbers w:val="0"/>
      </w:pPr>
      <w:r>
        <w:t>简介</w:t>
      </w:r>
    </w:p>
    <w:p>
      <w:pPr>
        <w:pStyle w:val="4"/>
        <w:keepNext w:val="0"/>
        <w:keepLines w:val="0"/>
        <w:widowControl/>
        <w:suppressLineNumbers w:val="0"/>
      </w:pPr>
      <w:r>
        <w:t>物理机即物理服务器。</w:t>
      </w:r>
    </w:p>
    <w:p>
      <w:pPr>
        <w:pStyle w:val="4"/>
        <w:keepNext w:val="0"/>
        <w:keepLines w:val="0"/>
        <w:widowControl/>
        <w:suppressLineNumbers w:val="0"/>
      </w:pPr>
      <w:r>
        <w:t>当应用不适合部署在虚拟机或需要独占一台物理服务器时，可以使用物理机。申请物理机后，用户得到该物理服务器的使用权限，可登录并自行安装服务软件。</w:t>
      </w:r>
    </w:p>
    <w:p>
      <w:pPr>
        <w:pStyle w:val="4"/>
        <w:keepNext w:val="0"/>
        <w:keepLines w:val="0"/>
        <w:widowControl/>
        <w:suppressLineNumbers w:val="0"/>
      </w:pPr>
      <w:r>
        <w:t>接入物理机是将物理机的信息录入到ServiceCenter中，并提供给用户进行申请。当用户申请的物理机服务通过审批后，需要管理员选择相应的物理机资源，手工进行实施并分配给用户。</w:t>
      </w:r>
    </w:p>
    <w:p>
      <w:pPr>
        <w:pStyle w:val="3"/>
        <w:keepNext w:val="0"/>
        <w:keepLines w:val="0"/>
        <w:widowControl/>
        <w:suppressLineNumbers w:val="0"/>
      </w:pPr>
      <w:r>
        <w:t>配置流程</w:t>
      </w:r>
    </w:p>
    <w:p>
      <w:pPr>
        <w:keepNext w:val="0"/>
        <w:keepLines w:val="0"/>
        <w:widowControl/>
        <w:suppressLineNumbers w:val="0"/>
        <w:jc w:val="left"/>
      </w:pPr>
      <w:r>
        <w:rPr>
          <w:rFonts w:ascii="宋体" w:hAnsi="宋体" w:eastAsia="宋体" w:cs="宋体"/>
          <w:kern w:val="0"/>
          <w:sz w:val="24"/>
          <w:szCs w:val="24"/>
          <w:lang w:val="en-US" w:eastAsia="zh-CN" w:bidi="ar"/>
        </w:rPr>
        <w:t>根据如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"https://support.huawei.com/view/contentview/getFileStream?mid=SUPE_DOC&amp;viewNid=EDOC1000070183&amp;nid=EDOC1000070183&amp;partNo=j006&amp;type=htm" \l "it_90_51_000023_mMcCpPsS_fig_02"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图3-2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所示流程，完成物理机的接入和物理机服务创建。流程中所示任务说明如</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"https://support.huawei.com/view/contentview/getFileStream?mid=SUPE_DOC&amp;viewNid=EDOC1000070183&amp;nid=EDOC1000070183&amp;partNo=j006&amp;type=htm" \l "it_90_51_000023_mMcCpPsS_tab_02" </w:instrText>
      </w:r>
      <w:r>
        <w:rPr>
          <w:rFonts w:ascii="宋体" w:hAnsi="宋体" w:eastAsia="宋体" w:cs="宋体"/>
          <w:kern w:val="0"/>
          <w:sz w:val="24"/>
          <w:szCs w:val="24"/>
          <w:lang w:val="en-US" w:eastAsia="zh-CN" w:bidi="ar"/>
        </w:rPr>
        <w:fldChar w:fldCharType="separate"/>
      </w:r>
      <w:r>
        <w:rPr>
          <w:rStyle w:val="7"/>
          <w:rFonts w:ascii="宋体" w:hAnsi="宋体" w:eastAsia="宋体" w:cs="宋体"/>
          <w:sz w:val="24"/>
          <w:szCs w:val="24"/>
        </w:rPr>
        <w:t>表3-2</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所示。</w:t>
      </w:r>
    </w:p>
    <w:p>
      <w:pPr>
        <w:keepNext w:val="0"/>
        <w:keepLines w:val="0"/>
        <w:widowControl/>
        <w:suppressLineNumbers w:val="0"/>
        <w:jc w:val="left"/>
      </w:pPr>
      <w:bookmarkStart w:id="5" w:name="it_90_51_000023__it_90_51_000023_mMcCpPsS_fig_02"/>
      <w:bookmarkEnd w:id="5"/>
      <w:bookmarkStart w:id="6" w:name="it_90_51_000023_mMcCpPsS_fig_02"/>
      <w:bookmarkEnd w:id="6"/>
      <w:r>
        <w:rPr>
          <w:rFonts w:ascii="宋体" w:hAnsi="宋体" w:eastAsia="宋体" w:cs="宋体"/>
          <w:kern w:val="0"/>
          <w:sz w:val="24"/>
          <w:szCs w:val="24"/>
          <w:lang w:val="en-US" w:eastAsia="zh-CN" w:bidi="ar"/>
        </w:rPr>
        <w:t xml:space="preserve">图3-2  配置流程 </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drawing>
          <wp:inline distT="0" distB="0" distL="114300" distR="114300">
            <wp:extent cx="1676400" cy="2009775"/>
            <wp:effectExtent l="0" t="0" r="0" b="9525"/>
            <wp:docPr id="2" name="图片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IMG_257"/>
                    <pic:cNvPicPr>
                      <a:picLocks noChangeAspect="1"/>
                    </pic:cNvPicPr>
                  </pic:nvPicPr>
                  <pic:blipFill>
                    <a:blip r:embed="rId5"/>
                    <a:stretch>
                      <a:fillRect/>
                    </a:stretch>
                  </pic:blipFill>
                  <pic:spPr>
                    <a:xfrm>
                      <a:off x="0" y="0"/>
                      <a:ext cx="1676400" cy="2009775"/>
                    </a:xfrm>
                    <a:prstGeom prst="rect">
                      <a:avLst/>
                    </a:prstGeom>
                    <a:noFill/>
                    <a:ln w="9525">
                      <a:noFill/>
                    </a:ln>
                  </pic:spPr>
                </pic:pic>
              </a:graphicData>
            </a:graphic>
          </wp:inline>
        </w:drawing>
      </w:r>
    </w:p>
    <w:p>
      <w:pPr>
        <w:keepNext w:val="0"/>
        <w:keepLines w:val="0"/>
        <w:widowControl/>
        <w:suppressLineNumbers w:val="0"/>
        <w:jc w:val="left"/>
      </w:pPr>
      <w:bookmarkStart w:id="7" w:name="it_90_51_000023__it_90_51_000023_mMcCpPsS_tab_02"/>
      <w:bookmarkEnd w:id="7"/>
      <w:bookmarkStart w:id="8" w:name="it_90_51_000023_mMcCpPsS_tab_02"/>
      <w:bookmarkEnd w:id="8"/>
      <w:r>
        <w:rPr>
          <w:rFonts w:ascii="宋体" w:hAnsi="宋体" w:eastAsia="宋体" w:cs="宋体"/>
          <w:kern w:val="0"/>
          <w:sz w:val="24"/>
          <w:szCs w:val="24"/>
          <w:lang w:val="en-US" w:eastAsia="zh-CN" w:bidi="ar"/>
        </w:rPr>
        <w:t>表3-2  任务说明</w:t>
      </w:r>
    </w:p>
    <w:tbl>
      <w:tblPr>
        <w:tblW w:w="0" w:type="auto"/>
        <w:tblCellSpacing w:w="0" w:type="dxa"/>
        <w:tblInd w:w="15"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Layout w:type="autofit"/>
        <w:tblCellMar>
          <w:top w:w="60" w:type="dxa"/>
          <w:left w:w="60" w:type="dxa"/>
          <w:bottom w:w="60" w:type="dxa"/>
          <w:right w:w="60" w:type="dxa"/>
        </w:tblCellMar>
      </w:tblPr>
      <w:tblGrid>
        <w:gridCol w:w="1266"/>
        <w:gridCol w:w="5262"/>
        <w:gridCol w:w="1913"/>
      </w:tblGrid>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blHeader/>
          <w:tblCellSpacing w:w="0" w:type="dxa"/>
        </w:trPr>
        <w:tc>
          <w:tcPr>
            <w:tcW w:w="750" w:type="pct"/>
            <w:shd w:val="clear"/>
            <w:vAlign w:val="top"/>
          </w:tcPr>
          <w:p>
            <w:pPr>
              <w:pStyle w:val="4"/>
              <w:keepNext w:val="0"/>
              <w:keepLines w:val="0"/>
              <w:widowControl/>
              <w:suppressLineNumbers w:val="0"/>
              <w:jc w:val="center"/>
            </w:pPr>
            <w:r>
              <w:rPr>
                <w:b/>
              </w:rPr>
              <w:t>任务</w:t>
            </w:r>
          </w:p>
        </w:tc>
        <w:tc>
          <w:tcPr>
            <w:tcW w:w="3116" w:type="pct"/>
            <w:shd w:val="clear"/>
            <w:vAlign w:val="top"/>
          </w:tcPr>
          <w:p>
            <w:pPr>
              <w:pStyle w:val="4"/>
              <w:keepNext w:val="0"/>
              <w:keepLines w:val="0"/>
              <w:widowControl/>
              <w:suppressLineNumbers w:val="0"/>
              <w:jc w:val="center"/>
            </w:pPr>
            <w:r>
              <w:rPr>
                <w:b/>
              </w:rPr>
              <w:t>说明</w:t>
            </w:r>
          </w:p>
        </w:tc>
        <w:tc>
          <w:tcPr>
            <w:tcW w:w="1133" w:type="pct"/>
            <w:shd w:val="clear"/>
            <w:vAlign w:val="top"/>
          </w:tcPr>
          <w:p>
            <w:pPr>
              <w:pStyle w:val="4"/>
              <w:keepNext w:val="0"/>
              <w:keepLines w:val="0"/>
              <w:widowControl/>
              <w:suppressLineNumbers w:val="0"/>
              <w:jc w:val="center"/>
            </w:pPr>
            <w:r>
              <w:rPr>
                <w:b/>
              </w:rPr>
              <w:t>界面入口</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CellMar>
            <w:top w:w="60" w:type="dxa"/>
            <w:left w:w="60" w:type="dxa"/>
            <w:bottom w:w="60" w:type="dxa"/>
            <w:right w:w="60" w:type="dxa"/>
          </w:tblCellMar>
        </w:tblPrEx>
        <w:trPr>
          <w:tblCellSpacing w:w="0" w:type="dxa"/>
        </w:trPr>
        <w:tc>
          <w:tcPr>
            <w:tcW w:w="750" w:type="pct"/>
            <w:shd w:val="clear"/>
            <w:vAlign w:val="top"/>
          </w:tcPr>
          <w:p>
            <w:pPr>
              <w:pStyle w:val="4"/>
              <w:keepNext w:val="0"/>
              <w:keepLines w:val="0"/>
              <w:widowControl/>
              <w:suppressLineNumbers w:val="0"/>
            </w:pPr>
            <w:r>
              <w:t>接入物理机</w:t>
            </w:r>
          </w:p>
        </w:tc>
        <w:tc>
          <w:tcPr>
            <w:tcW w:w="3116" w:type="pct"/>
            <w:shd w:val="clear"/>
            <w:vAlign w:val="top"/>
          </w:tcPr>
          <w:p>
            <w:pPr>
              <w:pStyle w:val="4"/>
              <w:keepNext w:val="0"/>
              <w:keepLines w:val="0"/>
              <w:widowControl/>
              <w:suppressLineNumbers w:val="0"/>
            </w:pPr>
            <w:r>
              <w:t>管理员将物理机信息录入ServiceCenter。</w:t>
            </w:r>
          </w:p>
        </w:tc>
        <w:tc>
          <w:tcPr>
            <w:tcW w:w="1133" w:type="pct"/>
            <w:shd w:val="clear"/>
            <w:vAlign w:val="top"/>
          </w:tcPr>
          <w:p>
            <w:pPr>
              <w:pStyle w:val="4"/>
              <w:keepNext w:val="0"/>
              <w:keepLines w:val="0"/>
              <w:widowControl/>
              <w:suppressLineNumbers w:val="0"/>
            </w:pPr>
            <w:r>
              <w:t>“服务 &gt; 云资源池”界面，选择一个云资源池，单击“物理机 &gt; 添加”</w:t>
            </w:r>
          </w:p>
        </w:tc>
      </w:tr>
      <w:tr>
        <w:tblPrEx>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shd w:val="clear"/>
        </w:tblPrEx>
        <w:trPr>
          <w:tblCellSpacing w:w="0" w:type="dxa"/>
        </w:trPr>
        <w:tc>
          <w:tcPr>
            <w:tcW w:w="750" w:type="pct"/>
            <w:shd w:val="clear"/>
            <w:vAlign w:val="top"/>
          </w:tcPr>
          <w:p>
            <w:pPr>
              <w:pStyle w:val="4"/>
              <w:keepNext w:val="0"/>
              <w:keepLines w:val="0"/>
              <w:widowControl/>
              <w:suppressLineNumbers w:val="0"/>
            </w:pPr>
            <w:r>
              <w:t>创建物理机服务</w:t>
            </w:r>
          </w:p>
        </w:tc>
        <w:tc>
          <w:tcPr>
            <w:tcW w:w="3116" w:type="pct"/>
            <w:shd w:val="clear"/>
            <w:vAlign w:val="top"/>
          </w:tcPr>
          <w:p>
            <w:pPr>
              <w:pStyle w:val="4"/>
              <w:keepNext w:val="0"/>
              <w:keepLines w:val="0"/>
              <w:widowControl/>
              <w:suppressLineNumbers w:val="0"/>
            </w:pPr>
            <w:r>
              <w:t>ServiceCenter提供服务申请方式分配物理机资源。创建物理机服务是指管理员按照资源分配规划创建物理机服务供租户申请的过程。</w:t>
            </w:r>
          </w:p>
        </w:tc>
        <w:tc>
          <w:tcPr>
            <w:tcW w:w="1133" w:type="pct"/>
            <w:shd w:val="clear"/>
            <w:vAlign w:val="top"/>
          </w:tcPr>
          <w:p>
            <w:pPr>
              <w:pStyle w:val="4"/>
              <w:keepNext w:val="0"/>
              <w:keepLines w:val="0"/>
              <w:widowControl/>
              <w:suppressLineNumbers w:val="0"/>
            </w:pPr>
            <w:r>
              <w:t>“服务 &gt; 服务目录”</w:t>
            </w:r>
          </w:p>
        </w:tc>
      </w:tr>
    </w:tbl>
    <w:p>
      <w:bookmarkStart w:id="9" w:name="_GoBack"/>
      <w:bookmarkEnd w:id="9"/>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E26130"/>
    <w:rsid w:val="75E26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2019-11-13T00:45:00Z</dcterms:created>
  <dc:creator>上官瑞明</dc:creator>
  <cp:lastModifiedBy>上官瑞明</cp:lastModifiedBy>
  <dcterms:modified xsi:type="dcterms:W3CDTF">2019-11-13T03:09:03Z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