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Cl(n,n) Split-Signature RH Framework</w:t>
        <w:br/>
        <w:t>Review Summary: Initial Concerns, Resolutions, and Remaining Work</w:t>
      </w:r>
    </w:p>
    <w:p>
      <w:pPr>
        <w:jc w:val="center"/>
      </w:pPr>
      <w:r>
        <w:t>Date: January 19, 2026</w:t>
        <w:br/>
        <w:t>Prepared for: Tracy McSheery</w:t>
        <w:br/>
        <w:t>Prepared by: ChatGPT (GPT-5.2 Thinking)</w:t>
      </w:r>
    </w:p>
    <w:p/>
    <w:p>
      <w:pPr>
        <w:pStyle w:val="Heading1"/>
      </w:pPr>
      <w:r>
        <w:t>Executive Summary</w:t>
      </w:r>
    </w:p>
    <w:p>
      <w:r>
        <w:t>This document records (A) the initial technical concerns identified in the draft monograph and the concrete resolutions that have already been implemented at the level of conceptual architecture and corrected statements; and (B) the remaining blocking issues that must be closed to support an unconditional claim of a proof of the Riemann Hypothesis (RH), together with specific, actionable steps to close them.</w:t>
      </w:r>
    </w:p>
    <w:p/>
    <w:p>
      <w:pPr>
        <w:pStyle w:val="Heading1"/>
      </w:pPr>
      <w:r>
        <w:t>Part A. Initial Concerns and Resolutions to Date</w:t>
      </w:r>
    </w:p>
    <w:p>
      <w:r>
        <w:t>The items below reflect the main technical objections previously raised during review, and the corresponding resolutions already adopted in the refined explanation of the split-signature framework. Where a concern is only partially resolved (i.e., reframed into a precise design choice), the remaining work is captured in Part B.</w:t>
      </w:r>
    </w:p>
    <w:tbl>
      <w:tblPr>
        <w:tblW w:type="auto" w:w="0"/>
        <w:tblLook w:firstColumn="1" w:firstRow="1" w:lastColumn="0" w:lastRow="0" w:noHBand="0" w:noVBand="1" w:val="04A0"/>
      </w:tblPr>
      <w:tblGrid>
        <w:gridCol w:w="2340"/>
        <w:gridCol w:w="2340"/>
        <w:gridCol w:w="2340"/>
        <w:gridCol w:w="2340"/>
      </w:tblGrid>
      <w:tr>
        <w:tc>
          <w:tcPr>
            <w:tcW w:type="dxa" w:w="2340"/>
          </w:tcPr>
          <w:p>
            <w:r>
              <w:t>Concern</w:t>
            </w:r>
          </w:p>
        </w:tc>
        <w:tc>
          <w:tcPr>
            <w:tcW w:type="dxa" w:w="2340"/>
          </w:tcPr>
          <w:p>
            <w:r>
              <w:t>Why it was a problem</w:t>
            </w:r>
          </w:p>
        </w:tc>
        <w:tc>
          <w:tcPr>
            <w:tcW w:type="dxa" w:w="2340"/>
          </w:tcPr>
          <w:p>
            <w:r>
              <w:t>Resolution adopted</w:t>
            </w:r>
          </w:p>
        </w:tc>
        <w:tc>
          <w:tcPr>
            <w:tcW w:type="dxa" w:w="2340"/>
          </w:tcPr>
          <w:p>
            <w:r>
              <w:t>Status</w:t>
            </w:r>
          </w:p>
        </w:tc>
      </w:tr>
      <w:tr>
        <w:tc>
          <w:tcPr>
            <w:tcW w:type="dxa" w:w="2340"/>
          </w:tcPr>
          <w:p>
            <w:r>
              <w:t>Hilbert-space terminology vs split-signature inner product</w:t>
            </w:r>
          </w:p>
        </w:tc>
        <w:tc>
          <w:tcPr>
            <w:tcW w:type="dxa" w:w="2340"/>
          </w:tcPr>
          <w:p>
            <w:r>
              <w:t>The draft used an indefinite quadratic form as a norm, which is not a Hilbert norm; this invalidates standard bounded/self-adjoint operator statements.</w:t>
            </w:r>
          </w:p>
        </w:tc>
        <w:tc>
          <w:tcPr>
            <w:tcW w:type="dxa" w:w="2340"/>
          </w:tcPr>
          <w:p>
            <w:r>
              <w:t>Separated the geometric split metric from the analytic inner product: either (i) move explicitly to Krein/Pontryagin-space operator theory, or (ii) introduce a positive-definite Hilbert inner product for analysis while retaining Cl(n,n) geometry.</w:t>
            </w:r>
          </w:p>
        </w:tc>
        <w:tc>
          <w:tcPr>
            <w:tcW w:type="dxa" w:w="2340"/>
          </w:tcPr>
          <w:p>
            <w:r>
              <w:t>Partially resolved (design choice clarified); closure required in Part B.</w:t>
            </w:r>
          </w:p>
        </w:tc>
      </w:tr>
      <w:tr>
        <w:tc>
          <w:tcPr>
            <w:tcW w:type="dxa" w:w="2340"/>
          </w:tcPr>
          <w:p>
            <w:r>
              <w:t>‘Phase rotations’ vs split-signature bivectors</w:t>
            </w:r>
          </w:p>
        </w:tc>
        <w:tc>
          <w:tcPr>
            <w:tcW w:type="dxa" w:w="2340"/>
          </w:tcPr>
          <w:p>
            <w:r>
              <w:t>In Cl(n,n), bivectors of the form e_p f_p square to +1 (hyperbolic/boost-type), so interpreting them as circular phases (square −1) is incorrect.</w:t>
            </w:r>
          </w:p>
        </w:tc>
        <w:tc>
          <w:tcPr>
            <w:tcW w:type="dxa" w:w="2340"/>
          </w:tcPr>
          <w:p>
            <w:r>
              <w:t>Explicitly distinguished generator types: square −1 bivectors yield circular rotations; square +1 yield boosts; nilpotent generators yield parabolic (translation-like) motors. Updated narrative to avoid incorrect ‘imaginary unit’ claims unless a square −1 structure is chosen.</w:t>
            </w:r>
          </w:p>
        </w:tc>
        <w:tc>
          <w:tcPr>
            <w:tcW w:type="dxa" w:w="2340"/>
          </w:tcPr>
          <w:p>
            <w:r>
              <w:t>Resolved conceptually (corrected classification of generators).</w:t>
            </w:r>
          </w:p>
        </w:tc>
      </w:tr>
      <w:tr>
        <w:tc>
          <w:tcPr>
            <w:tcW w:type="dxa" w:w="2340"/>
          </w:tcPr>
          <w:p>
            <w:r>
              <w:t>Scalar-bridge lemma using scalar-part of log(product)</w:t>
            </w:r>
          </w:p>
        </w:tc>
        <w:tc>
          <w:tcPr>
            <w:tcW w:type="dxa" w:w="2340"/>
          </w:tcPr>
          <w:p>
            <w:r>
              <w:t>The scalar part of log(exp(φB)) is not φ for bivector B; the draft formula as written does not hold and cannot justify a zeta-analytic bridge.</w:t>
            </w:r>
          </w:p>
        </w:tc>
        <w:tc>
          <w:tcPr>
            <w:tcW w:type="dxa" w:w="2340"/>
          </w:tcPr>
          <w:p>
            <w:r>
              <w:t>Removed the incorrect scalar-part identity and replaced it with a requirement to specify an explicit observable (e.g., representation trace, log-determinant/Fredholm determinant, or coefficient extraction) with a proved additivity/compatibility property.</w:t>
            </w:r>
          </w:p>
        </w:tc>
        <w:tc>
          <w:tcPr>
            <w:tcW w:type="dxa" w:w="2340"/>
          </w:tcPr>
          <w:p>
            <w:r>
              <w:t>Resolved as an error; replacement observable still must be selected/proved (Part B).</w:t>
            </w:r>
          </w:p>
        </w:tc>
      </w:tr>
      <w:tr>
        <w:tc>
          <w:tcPr>
            <w:tcW w:type="dxa" w:w="2340"/>
          </w:tcPr>
          <w:p>
            <w:r>
              <w:t>Prime decoupling / non-interference claims</w:t>
            </w:r>
          </w:p>
        </w:tc>
        <w:tc>
          <w:tcPr>
            <w:tcW w:type="dxa" w:w="2340"/>
          </w:tcPr>
          <w:p>
            <w:r>
              <w:t>Decoupling must be justified by invariance and commuting actions; otherwise cross-terms can arise from BCH/mixing.</w:t>
            </w:r>
          </w:p>
        </w:tc>
        <w:tc>
          <w:tcPr>
            <w:tcW w:type="dxa" w:w="2340"/>
          </w:tcPr>
          <w:p>
            <w:r>
              <w:t>Anchored decoupling on the orthogonal hyperbolic-plane decomposition and the commuting-bivector lemma: disjoint prime planes yield commuting generators, so the global motor factorizes and eigenvectors/trace contributions separate cleanly.</w:t>
            </w:r>
          </w:p>
        </w:tc>
        <w:tc>
          <w:tcPr>
            <w:tcW w:type="dxa" w:w="2340"/>
          </w:tcPr>
          <w:p>
            <w:r>
              <w:t>Resolved (algebraic core is sound).</w:t>
            </w:r>
          </w:p>
        </w:tc>
      </w:tr>
      <w:tr>
        <w:tc>
          <w:tcPr>
            <w:tcW w:type="dxa" w:w="2340"/>
          </w:tcPr>
          <w:p>
            <w:r>
              <w:t>‘Non-primes become null vectors’ stated as intrinsic</w:t>
            </w:r>
          </w:p>
        </w:tc>
        <w:tc>
          <w:tcPr>
            <w:tcW w:type="dxa" w:w="2340"/>
          </w:tcPr>
          <w:p>
            <w:r>
              <w:t>Cl(n,n) alone does not force composites to map to null. This depends on the encoding from integers to GA elements and on the chosen observable.</w:t>
            </w:r>
          </w:p>
        </w:tc>
        <w:tc>
          <w:tcPr>
            <w:tcW w:type="dxa" w:w="2340"/>
          </w:tcPr>
          <w:p>
            <w:r>
              <w:t>Reframed as an encoding-and-observable statement: composites can be eliminated either arithmetically (von Mangoldt weighting Λ) and/or geometrically (outer product degeneracy a∧a=0 collapsing repeated factors; null-subspace projection that annihilates unwanted contributions).</w:t>
            </w:r>
          </w:p>
        </w:tc>
        <w:tc>
          <w:tcPr>
            <w:tcW w:type="dxa" w:w="2340"/>
          </w:tcPr>
          <w:p>
            <w:r>
              <w:t>Resolved as a clarification (requires explicit encoding choices for proof-grade claims).</w:t>
            </w:r>
          </w:p>
        </w:tc>
      </w:tr>
      <w:tr>
        <w:tc>
          <w:tcPr>
            <w:tcW w:type="dxa" w:w="2340"/>
          </w:tcPr>
          <w:p>
            <w:r>
              <w:t>Analytic continuation asserted from ‘entire exponentials’</w:t>
            </w:r>
          </w:p>
        </w:tc>
        <w:tc>
          <w:tcPr>
            <w:tcW w:type="dxa" w:w="2340"/>
          </w:tcPr>
          <w:p>
            <w:r>
              <w:t>Entirety of a GA expression does not automatically imply analytic continuation of ζ(s), and ζ(s) is not entire (pole at s=1).</w:t>
            </w:r>
          </w:p>
        </w:tc>
        <w:tc>
          <w:tcPr>
            <w:tcW w:type="dxa" w:w="2340"/>
          </w:tcPr>
          <w:p>
            <w:r>
              <w:t>Reframed: analytic continuation must be inherited only through a proved equivalence with known analytic objects (e.g., ξ(s), Mellin/Theta representations) or through a rigorously defined operator determinant with the correct functional equation and pole structure.</w:t>
            </w:r>
          </w:p>
        </w:tc>
        <w:tc>
          <w:tcPr>
            <w:tcW w:type="dxa" w:w="2340"/>
          </w:tcPr>
          <w:p>
            <w:r>
              <w:t>Not resolved; moved to Part B as a required bridge.</w:t>
            </w:r>
          </w:p>
        </w:tc>
      </w:tr>
      <w:tr>
        <w:tc>
          <w:tcPr>
            <w:tcW w:type="dxa" w:w="2340"/>
          </w:tcPr>
          <w:p>
            <w:r>
              <w:t>‘Lean verified’ claims not accompanied by reproducibility data</w:t>
            </w:r>
          </w:p>
        </w:tc>
        <w:tc>
          <w:tcPr>
            <w:tcW w:type="dxa" w:w="2340"/>
          </w:tcPr>
          <w:p>
            <w:r>
              <w:t>Publication-grade verification requires a repo link, commit hash, toolchain, theorem list, and whether any analytic steps are axiomatized.</w:t>
            </w:r>
          </w:p>
        </w:tc>
        <w:tc>
          <w:tcPr>
            <w:tcW w:type="dxa" w:w="2340"/>
          </w:tcPr>
          <w:p>
            <w:r>
              <w:t>Resolution: treat the Lean build as evidence only when accompanied by versioned artifacts and an explicit declaration of assumptions vs theorems; recommend a ‘Proof Ledger’ section in the monograph.</w:t>
            </w:r>
          </w:p>
        </w:tc>
        <w:tc>
          <w:tcPr>
            <w:tcW w:type="dxa" w:w="2340"/>
          </w:tcPr>
          <w:p>
            <w:r>
              <w:t>Partially resolved (documentation step pending).</w:t>
            </w:r>
          </w:p>
        </w:tc>
      </w:tr>
    </w:tbl>
    <w:p/>
    <w:p>
      <w:pPr>
        <w:pStyle w:val="Heading1"/>
      </w:pPr>
      <w:r>
        <w:t>Part B. Remaining Concerns and How to Close Them</w:t>
      </w:r>
    </w:p>
    <w:p>
      <w:r>
        <w:t>The following are the remaining blockers to my satisfaction for an unconditional RH claim, along with concrete recommendations to close each gap. Where closure is likely to require a major new analytic theorem, I recommend recasting the monograph as a conditional reduction with explicit hypotheses.</w:t>
      </w:r>
    </w:p>
    <w:p>
      <w:pPr>
        <w:pStyle w:val="Heading2"/>
      </w:pPr>
      <w:r>
        <w:t>B1. Fix the analytic foundation: Hilbert vs Krein/Pontryagin</w:t>
      </w:r>
    </w:p>
    <w:p>
      <w:r>
        <w:t>Decision required:</w:t>
        <w:br/>
        <w:t xml:space="preserve">  (1) Krein/Pontryagin route: Define the indefinite form, specify the fundamental symmetry, and state operator adjoints in the Krein sense. Prove the needed boundedness and symmetry properties in that setting.</w:t>
        <w:br/>
        <w:t xml:space="preserve">  (2) Hilbert route: Introduce a positive-definite inner product (e.g., via a faithful matrix/Spin representation) and treat Cl(n,n) as generating operators on a genuine Hilbert space. Prove that your prime-plane operators are bounded and that the critical-line condition corresponds to self-adjointness/unitarity under this inner product.</w:t>
      </w:r>
    </w:p>
    <w:p>
      <w:pPr>
        <w:pStyle w:val="Heading2"/>
      </w:pPr>
      <w:r>
        <w:t>B2. Specify the observable (‘trace’) that links the GA/operator model to ζ/ξ</w:t>
      </w:r>
    </w:p>
    <w:p>
      <w:r>
        <w:t>You must explicitly choose and justify the scalar observable used to detect spectral events. Options include:</w:t>
        <w:br/>
        <w:t xml:space="preserve">  • Matrix trace in a specific representation (must state representation and prove invariance properties).</w:t>
        <w:br/>
        <w:t xml:space="preserve">  • Log-determinant or Fredholm determinant of a trace-class operator family K(s).</w:t>
        <w:br/>
        <w:t xml:space="preserve">  • A grade-projection/coefficient functional (must prove it matches an analytic quantity of interest).</w:t>
        <w:br/>
        <w:br/>
        <w:t>Closure requirement: prove an identity of the form Det(I − K(s)) = F(s), where F(s) is a known completion (e.g., ξ(s) up to nonvanishing factors), so that zeros of ζ(s) correspond exactly to kernel/determinant events of the operator family.</w:t>
      </w:r>
    </w:p>
    <w:p>
      <w:pPr>
        <w:pStyle w:val="Heading2"/>
      </w:pPr>
      <w:r>
        <w:t>B3. Prove (or isolate as a hypothesis) the ‘Zeta Link’: zeros ⇔ spectral/kernel events</w:t>
      </w:r>
    </w:p>
    <w:p>
      <w:r>
        <w:t>An unconditional RH claim requires a theorem connecting ζ/ξ zeros to your operator model, not merely a motivation.</w:t>
        <w:br/>
        <w:t>Practical path:</w:t>
        <w:br/>
        <w:t xml:space="preserve">  • Define K(s) explicitly as an integral/trace-class operator with a known determinant formula.</w:t>
        <w:br/>
        <w:t xml:space="preserve">  • Prove the functional-equation symmetry (adjoint or conjugacy) in operator form.</w:t>
        <w:br/>
        <w:t xml:space="preserve">  • Prove: ζ(s)=0 ⇔ Det(I − K(s))=0 ⇔ ker(I − K(s)) ≠ {0} (under the chosen analytic framework).</w:t>
      </w:r>
    </w:p>
    <w:p>
      <w:pPr>
        <w:pStyle w:val="Heading2"/>
      </w:pPr>
      <w:r>
        <w:t>B4. Replace probabilistic noise claims with deterministic bounds or explicit hypotheses</w:t>
      </w:r>
    </w:p>
    <w:p>
      <w:r>
        <w:t>Any step asserting random-walk/LIL-style cancellation for prime exponential sums is, in substance, an RH-sized claim.</w:t>
        <w:br/>
        <w:t>Recommendation:</w:t>
        <w:br/>
        <w:t xml:space="preserve">  • If you cannot prove a deterministic bound strong enough to force the needed cancellation, state it as an explicit ‘Stability Inequality’ hypothesis (e.g., a bound on weighted prime sums over all t in a specified regime).</w:t>
        <w:br/>
        <w:t xml:space="preserve">  • Then prove a clean conditional theorem: (Stability Inequality + Zeta Link) ⇒ RH.</w:t>
        <w:br/>
        <w:t>This reframes the contribution as a rigorous reduction, isolating the remaining analytic burden precisely.</w:t>
      </w:r>
    </w:p>
    <w:p>
      <w:pPr>
        <w:pStyle w:val="Heading2"/>
      </w:pPr>
      <w:r>
        <w:t>B5. Make the symmetry forcing σ=1/2 fully formal</w:t>
      </w:r>
    </w:p>
    <w:p>
      <w:r>
        <w:t>You want a statement of the form:</w:t>
        <w:br/>
        <w:t xml:space="preserve">  Imag⟨v, K(s)v⟩ = (σ − 1/2)·Q(v)</w:t>
        <w:br/>
        <w:t>with Q(v)&gt;0 for v≠0.</w:t>
        <w:br/>
        <w:t>Closure requirement:</w:t>
        <w:br/>
        <w:t xml:space="preserve">  • Define Q(v) explicitly from the operator construction, prove positivity, and prove the identity without hidden assumptions.</w:t>
        <w:br/>
        <w:t xml:space="preserve">  • Then ‘massless’ (imaginary part zero) for a nonzero eigenvector forces σ=1/2 as the fixed locus of the symmetry.</w:t>
      </w:r>
    </w:p>
    <w:p>
      <w:pPr>
        <w:pStyle w:val="Heading2"/>
      </w:pPr>
      <w:r>
        <w:t>B6. Keep Lucas/Pascal-gasket and Menger-sponge language explicitly as analogy (optional)</w:t>
      </w:r>
    </w:p>
    <w:p>
      <w:r>
        <w:t>These metaphors can be valuable for exposition, but they must be flagged as analogy unless you define precise ‘mass’ and ‘surface’ measures (e.g., bulk vs boundary spectral measures) and prove the corresponding limit statements.</w:t>
      </w:r>
    </w:p>
    <w:p>
      <w:pPr>
        <w:pStyle w:val="Heading2"/>
      </w:pPr>
      <w:r>
        <w:t>B7. Publication-grade verification package (Lean and numerics)</w:t>
      </w:r>
    </w:p>
    <w:p>
      <w:r>
        <w:t>To support claims of machine verification, include:</w:t>
        <w:br/>
        <w:t xml:space="preserve">  • Repository reference, commit hash, Lean version/toolchain.</w:t>
        <w:br/>
        <w:t xml:space="preserve">  • A theorem ledger: what is proved, what is assumed (axioms/hypotheses), and where analytic facts enter.</w:t>
        <w:br/>
        <w:t xml:space="preserve">  • Reproducible scripts for numeric experiments with stated regimes (prime cutoff, t ranges, error control).</w:t>
      </w:r>
    </w:p>
    <w:p/>
    <w:p>
      <w:pPr>
        <w:pStyle w:val="Heading2"/>
      </w:pPr>
      <w:r>
        <w:t>Satisfaction Criteria (What must be true to call the result ‘unconditional’)</w:t>
      </w:r>
    </w:p>
    <w:p>
      <w:r>
        <w:t>At minimum, the monograph should contain (or the associated formalization should supply):</w:t>
        <w:br/>
        <w:t xml:space="preserve">  1) A correct analytic space (Hilbert or Krein) and a well-defined adjoint.</w:t>
        <w:br/>
        <w:t xml:space="preserve">  2) An explicit operator family K(s) with a proved determinant/trace formula tied to ζ/ξ.</w:t>
        <w:br/>
        <w:t xml:space="preserve">  3) A proved Zeta Link: zeros correspond exactly to kernel/determinant events.</w:t>
        <w:br/>
        <w:t xml:space="preserve">  4) A proved ‘symmetry forcing’ identity with a genuinely positive quadratic form.</w:t>
        <w:br/>
        <w:t>Without (2)-(3), the work is best presented as a rigorous geometric-algebraic framework and/or a conditional reduction.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