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12"/>
              <w:bottom w:val="single" w:sz="6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728"/>
            <w:tcBorders>
              <w:top w:val="single" w:sz="12"/>
              <w:bottom w:val="single" w:sz="6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NJ change (SE)</w:t>
            </w:r>
          </w:p>
        </w:tc>
        <w:tc>
          <w:tcPr>
            <w:tcW w:type="dxa" w:w="1728"/>
            <w:tcBorders>
              <w:top w:val="single" w:sz="12"/>
              <w:bottom w:val="single" w:sz="6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PA change (SE)</w:t>
            </w:r>
          </w:p>
        </w:tc>
        <w:tc>
          <w:tcPr>
            <w:tcW w:type="dxa" w:w="1728"/>
            <w:tcBorders>
              <w:top w:val="single" w:sz="12"/>
              <w:bottom w:val="single" w:sz="6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DID (SE)</w:t>
            </w:r>
          </w:p>
        </w:tc>
        <w:tc>
          <w:tcPr>
            <w:tcW w:type="dxa" w:w="1728"/>
            <w:tcBorders>
              <w:top w:val="single" w:sz="12"/>
              <w:bottom w:val="single" w:sz="6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t</w:t>
            </w:r>
          </w:p>
        </w:tc>
      </w:tr>
      <w:tr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Starting wage</w:t>
            </w:r>
          </w:p>
        </w:tc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0.47</w:t>
            </w:r>
          </w:p>
          <w:p>
            <w:pPr>
              <w:jc w:val="center"/>
            </w:pPr>
            <w:r>
              <w:rPr>
                <w:sz w:val="18"/>
              </w:rPr>
              <w:t>(0.02)</w:t>
            </w:r>
          </w:p>
        </w:tc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-0.03</w:t>
            </w:r>
          </w:p>
          <w:p>
            <w:pPr>
              <w:jc w:val="center"/>
            </w:pPr>
            <w:r>
              <w:rPr>
                <w:sz w:val="18"/>
              </w:rPr>
              <w:t>(0.05)</w:t>
            </w:r>
          </w:p>
        </w:tc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0.50***</w:t>
            </w:r>
          </w:p>
          <w:p>
            <w:pPr>
              <w:jc w:val="center"/>
            </w:pPr>
            <w:r>
              <w:rPr>
                <w:sz w:val="18"/>
              </w:rPr>
              <w:t>(0.05)</w:t>
            </w:r>
          </w:p>
        </w:tc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9.75</w:t>
            </w:r>
          </w:p>
        </w:tc>
      </w:tr>
      <w:tr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FTE employment</w:t>
            </w:r>
          </w:p>
        </w:tc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0.47</w:t>
            </w:r>
          </w:p>
          <w:p>
            <w:pPr>
              <w:jc w:val="center"/>
            </w:pPr>
            <w:r>
              <w:rPr>
                <w:sz w:val="18"/>
              </w:rPr>
              <w:t>(0.48)</w:t>
            </w:r>
          </w:p>
        </w:tc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-2.28</w:t>
            </w:r>
          </w:p>
          <w:p>
            <w:pPr>
              <w:jc w:val="center"/>
            </w:pPr>
            <w:r>
              <w:rPr>
                <w:sz w:val="18"/>
              </w:rPr>
              <w:t>(1.25)</w:t>
            </w:r>
          </w:p>
        </w:tc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2.75**</w:t>
            </w:r>
          </w:p>
          <w:p>
            <w:pPr>
              <w:jc w:val="center"/>
            </w:pPr>
            <w:r>
              <w:rPr>
                <w:sz w:val="18"/>
              </w:rPr>
              <w:t>(1.34)</w:t>
            </w:r>
          </w:p>
        </w:tc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2.05</w:t>
            </w:r>
          </w:p>
        </w:tc>
      </w:tr>
      <w:tr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Full meal price</w:t>
            </w:r>
          </w:p>
        </w:tc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0.07</w:t>
            </w:r>
          </w:p>
          <w:p>
            <w:pPr>
              <w:jc w:val="center"/>
            </w:pPr>
            <w:r>
              <w:rPr>
                <w:sz w:val="18"/>
              </w:rPr>
              <w:t>(0.02)</w:t>
            </w:r>
          </w:p>
        </w:tc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-0.03</w:t>
            </w:r>
          </w:p>
          <w:p>
            <w:pPr>
              <w:jc w:val="center"/>
            </w:pPr>
            <w:r>
              <w:rPr>
                <w:sz w:val="18"/>
              </w:rPr>
              <w:t>(0.04)</w:t>
            </w:r>
          </w:p>
        </w:tc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0.10**</w:t>
            </w:r>
          </w:p>
          <w:p>
            <w:pPr>
              <w:jc w:val="center"/>
            </w:pPr>
            <w:r>
              <w:rPr>
                <w:sz w:val="18"/>
              </w:rPr>
              <w:t>(0.04)</w:t>
            </w:r>
          </w:p>
        </w:tc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2.29</w:t>
            </w:r>
          </w:p>
        </w:tc>
      </w:tr>
      <w:tr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Hours open (weekday)</w:t>
            </w:r>
          </w:p>
        </w:tc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-0.00</w:t>
            </w:r>
          </w:p>
          <w:p>
            <w:pPr>
              <w:jc w:val="center"/>
            </w:pPr>
            <w:r>
              <w:rPr>
                <w:sz w:val="18"/>
              </w:rPr>
              <w:t>(0.06)</w:t>
            </w:r>
          </w:p>
        </w:tc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0.11</w:t>
            </w:r>
          </w:p>
          <w:p>
            <w:pPr>
              <w:jc w:val="center"/>
            </w:pPr>
            <w:r>
              <w:rPr>
                <w:sz w:val="18"/>
              </w:rPr>
              <w:t>(0.08)</w:t>
            </w:r>
          </w:p>
        </w:tc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-0.11</w:t>
            </w:r>
          </w:p>
          <w:p>
            <w:pPr>
              <w:jc w:val="center"/>
            </w:pPr>
            <w:r>
              <w:rPr>
                <w:sz w:val="18"/>
              </w:rPr>
              <w:t>(0.10)</w:t>
            </w:r>
          </w:p>
        </w:tc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-1.08</w:t>
            </w:r>
          </w:p>
        </w:tc>
      </w:tr>
      <w:tr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Full-time share</w:t>
            </w:r>
          </w:p>
        </w:tc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3.1</w:t>
            </w:r>
          </w:p>
          <w:p>
            <w:pPr>
              <w:jc w:val="center"/>
            </w:pPr>
            <w:r>
              <w:rPr>
                <w:sz w:val="18"/>
              </w:rPr>
              <w:t>(1.7)</w:t>
            </w:r>
          </w:p>
        </w:tc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-4.7</w:t>
            </w:r>
          </w:p>
          <w:p>
            <w:pPr>
              <w:jc w:val="center"/>
            </w:pPr>
            <w:r>
              <w:rPr>
                <w:sz w:val="18"/>
              </w:rPr>
              <w:t>(3.9)</w:t>
            </w:r>
          </w:p>
        </w:tc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7.8*</w:t>
            </w:r>
          </w:p>
          <w:p>
            <w:pPr>
              <w:jc w:val="center"/>
            </w:pPr>
            <w:r>
              <w:rPr>
                <w:sz w:val="18"/>
              </w:rPr>
              <w:t>(4.3)</w:t>
            </w:r>
          </w:p>
        </w:tc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1.83</w:t>
            </w:r>
          </w:p>
        </w:tc>
      </w:tr>
      <w:tr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Recruiting bonus</w:t>
            </w:r>
          </w:p>
        </w:tc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-4.1</w:t>
            </w:r>
          </w:p>
          <w:p>
            <w:pPr>
              <w:jc w:val="center"/>
            </w:pPr>
            <w:r>
              <w:rPr>
                <w:sz w:val="18"/>
              </w:rPr>
              <w:t>(3.2)</w:t>
            </w:r>
          </w:p>
        </w:tc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-6.5</w:t>
            </w:r>
          </w:p>
          <w:p>
            <w:pPr>
              <w:jc w:val="center"/>
            </w:pPr>
            <w:r>
              <w:rPr>
                <w:sz w:val="18"/>
              </w:rPr>
              <w:t>(6.2)</w:t>
            </w:r>
          </w:p>
        </w:tc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2.4</w:t>
            </w:r>
          </w:p>
          <w:p>
            <w:pPr>
              <w:jc w:val="center"/>
            </w:pPr>
            <w:r>
              <w:rPr>
                <w:sz w:val="18"/>
              </w:rPr>
              <w:t>(7.0)</w:t>
            </w:r>
          </w:p>
        </w:tc>
        <w:tc>
          <w:tcPr>
            <w:tcW w:type="dxa" w:w="1728"/>
            <w:tcBorders>
              <w:top w:val="nil"/>
              <w:bottom w:val="nil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0.34</w:t>
            </w:r>
          </w:p>
        </w:tc>
      </w:tr>
      <w:tr>
        <w:tc>
          <w:tcPr>
            <w:tcW w:type="dxa" w:w="1728"/>
            <w:tcBorders>
              <w:top w:val="nil"/>
              <w:bottom w:val="single" w:sz="12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Cash registers</w:t>
            </w:r>
          </w:p>
        </w:tc>
        <w:tc>
          <w:tcPr>
            <w:tcW w:type="dxa" w:w="1728"/>
            <w:tcBorders>
              <w:top w:val="nil"/>
              <w:bottom w:val="single" w:sz="12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-0.04</w:t>
            </w:r>
          </w:p>
          <w:p>
            <w:pPr>
              <w:jc w:val="center"/>
            </w:pPr>
            <w:r>
              <w:rPr>
                <w:sz w:val="18"/>
              </w:rPr>
              <w:t>(0.04)</w:t>
            </w:r>
          </w:p>
        </w:tc>
        <w:tc>
          <w:tcPr>
            <w:tcW w:type="dxa" w:w="1728"/>
            <w:tcBorders>
              <w:top w:val="nil"/>
              <w:bottom w:val="single" w:sz="12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0.13</w:t>
            </w:r>
          </w:p>
          <w:p>
            <w:pPr>
              <w:jc w:val="center"/>
            </w:pPr>
            <w:r>
              <w:rPr>
                <w:sz w:val="18"/>
              </w:rPr>
              <w:t>(0.10)</w:t>
            </w:r>
          </w:p>
        </w:tc>
        <w:tc>
          <w:tcPr>
            <w:tcW w:type="dxa" w:w="1728"/>
            <w:tcBorders>
              <w:top w:val="nil"/>
              <w:bottom w:val="single" w:sz="12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-0.17</w:t>
            </w:r>
          </w:p>
          <w:p>
            <w:pPr>
              <w:jc w:val="center"/>
            </w:pPr>
            <w:r>
              <w:rPr>
                <w:sz w:val="18"/>
              </w:rPr>
              <w:t>(0.11)</w:t>
            </w:r>
          </w:p>
        </w:tc>
        <w:tc>
          <w:tcPr>
            <w:tcW w:type="dxa" w:w="1728"/>
            <w:tcBorders>
              <w:top w:val="nil"/>
              <w:bottom w:val="single" w:sz="12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-1.61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