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12"/>
              <w:bottom w:val="single" w:sz="6"/>
            </w:tcBorders>
          </w:tcPr>
          <w:p>
            <w:pPr>
              <w:jc w:val="center"/>
            </w:pPr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728"/>
            <w:tcBorders>
              <w:top w:val="single" w:sz="12"/>
              <w:bottom w:val="single" w:sz="6"/>
            </w:tcBorders>
          </w:tcPr>
          <w:p>
            <w:pPr>
              <w:jc w:val="center"/>
            </w:pPr>
            <w:r/>
            <w:r>
              <w:rPr>
                <w:b/>
                <w:sz w:val="18"/>
              </w:rPr>
              <w:t>NJ change (SE)</w:t>
            </w:r>
          </w:p>
        </w:tc>
        <w:tc>
          <w:tcPr>
            <w:tcW w:type="dxa" w:w="1728"/>
            <w:tcBorders>
              <w:top w:val="single" w:sz="12"/>
              <w:bottom w:val="single" w:sz="6"/>
            </w:tcBorders>
          </w:tcPr>
          <w:p>
            <w:pPr>
              <w:jc w:val="center"/>
            </w:pPr>
            <w:r/>
            <w:r>
              <w:rPr>
                <w:b/>
                <w:sz w:val="18"/>
              </w:rPr>
              <w:t>PA change (SE)</w:t>
            </w:r>
          </w:p>
        </w:tc>
        <w:tc>
          <w:tcPr>
            <w:tcW w:type="dxa" w:w="1728"/>
            <w:tcBorders>
              <w:top w:val="single" w:sz="12"/>
              <w:bottom w:val="single" w:sz="6"/>
            </w:tcBorders>
          </w:tcPr>
          <w:p>
            <w:pPr>
              <w:jc w:val="center"/>
            </w:pPr>
            <w:r/>
            <w:r>
              <w:rPr>
                <w:b/>
                <w:sz w:val="18"/>
              </w:rPr>
              <w:t>DID (SE)</w:t>
            </w:r>
          </w:p>
        </w:tc>
        <w:tc>
          <w:tcPr>
            <w:tcW w:type="dxa" w:w="1728"/>
            <w:tcBorders>
              <w:top w:val="single" w:sz="12"/>
              <w:bottom w:val="single" w:sz="6"/>
            </w:tcBorders>
          </w:tcPr>
          <w:p>
            <w:pPr>
              <w:jc w:val="center"/>
            </w:pPr>
            <w:r/>
            <w:r>
              <w:rPr>
                <w:b/>
                <w:sz w:val="18"/>
              </w:rPr>
              <w:t>t</w:t>
            </w:r>
          </w:p>
        </w:tc>
      </w:tr>
      <w:tr>
        <w:tc>
          <w:tcPr>
            <w:tcW w:type="dxa" w:w="1728"/>
            <w:tcBorders>
              <w:top w:val="nil"/>
              <w:bottom w:val="nil"/>
            </w:tcBorders>
          </w:tcPr>
          <w:p>
            <w:pPr>
              <w:jc w:val="center"/>
            </w:pPr>
            <w:r/>
            <w:r>
              <w:rPr>
                <w:sz w:val="18"/>
              </w:rPr>
              <w:t>Starting wage</w:t>
            </w:r>
          </w:p>
        </w:tc>
        <w:tc>
          <w:tcPr>
            <w:tcW w:type="dxa" w:w="1728"/>
            <w:tcBorders>
              <w:top w:val="nil"/>
              <w:bottom w:val="nil"/>
            </w:tcBorders>
          </w:tcPr>
          <w:p>
            <w:pPr>
              <w:jc w:val="center"/>
            </w:pPr>
            <w:r/>
            <w:r>
              <w:rPr>
                <w:sz w:val="18"/>
              </w:rPr>
              <w:t>0.47</w:t>
            </w:r>
          </w:p>
          <w:p>
            <w:pPr>
              <w:jc w:val="center"/>
            </w:pPr>
            <w:r>
              <w:rPr>
                <w:sz w:val="18"/>
              </w:rPr>
              <w:t>(0.02)</w:t>
            </w:r>
          </w:p>
        </w:tc>
        <w:tc>
          <w:tcPr>
            <w:tcW w:type="dxa" w:w="1728"/>
            <w:tcBorders>
              <w:top w:val="nil"/>
              <w:bottom w:val="nil"/>
            </w:tcBorders>
          </w:tcPr>
          <w:p>
            <w:pPr>
              <w:jc w:val="center"/>
            </w:pPr>
            <w:r/>
            <w:r>
              <w:rPr>
                <w:sz w:val="18"/>
              </w:rPr>
              <w:t>-0.03</w:t>
            </w:r>
          </w:p>
          <w:p>
            <w:pPr>
              <w:jc w:val="center"/>
            </w:pPr>
            <w:r>
              <w:rPr>
                <w:sz w:val="18"/>
              </w:rPr>
              <w:t>(0.05)</w:t>
            </w:r>
          </w:p>
        </w:tc>
        <w:tc>
          <w:tcPr>
            <w:tcW w:type="dxa" w:w="1728"/>
            <w:tcBorders>
              <w:top w:val="nil"/>
              <w:bottom w:val="nil"/>
            </w:tcBorders>
          </w:tcPr>
          <w:p>
            <w:pPr>
              <w:jc w:val="center"/>
            </w:pPr>
            <w:r/>
            <w:r>
              <w:rPr>
                <w:sz w:val="18"/>
              </w:rPr>
              <w:t>0.50***</w:t>
            </w:r>
          </w:p>
          <w:p>
            <w:pPr>
              <w:jc w:val="center"/>
            </w:pPr>
            <w:r>
              <w:rPr>
                <w:sz w:val="18"/>
              </w:rPr>
              <w:t>(0.05)</w:t>
            </w:r>
          </w:p>
        </w:tc>
        <w:tc>
          <w:tcPr>
            <w:tcW w:type="dxa" w:w="1728"/>
            <w:tcBorders>
              <w:top w:val="nil"/>
              <w:bottom w:val="nil"/>
            </w:tcBorders>
          </w:tcPr>
          <w:p>
            <w:pPr>
              <w:jc w:val="center"/>
            </w:pPr>
            <w:r/>
            <w:r>
              <w:rPr>
                <w:sz w:val="18"/>
              </w:rPr>
              <w:t>9.75</w:t>
            </w:r>
          </w:p>
        </w:tc>
      </w:tr>
      <w:tr>
        <w:tc>
          <w:tcPr>
            <w:tcW w:type="dxa" w:w="1728"/>
            <w:tcBorders>
              <w:top w:val="nil"/>
              <w:bottom w:val="nil"/>
            </w:tcBorders>
          </w:tcPr>
          <w:p>
            <w:pPr>
              <w:jc w:val="center"/>
            </w:pPr>
            <w:r/>
            <w:r>
              <w:rPr>
                <w:sz w:val="18"/>
              </w:rPr>
              <w:t>FTE employment</w:t>
            </w:r>
          </w:p>
        </w:tc>
        <w:tc>
          <w:tcPr>
            <w:tcW w:type="dxa" w:w="1728"/>
            <w:tcBorders>
              <w:top w:val="nil"/>
              <w:bottom w:val="nil"/>
            </w:tcBorders>
          </w:tcPr>
          <w:p>
            <w:pPr>
              <w:jc w:val="center"/>
            </w:pPr>
            <w:r/>
            <w:r>
              <w:rPr>
                <w:sz w:val="18"/>
              </w:rPr>
              <w:t>0.47</w:t>
            </w:r>
          </w:p>
          <w:p>
            <w:pPr>
              <w:jc w:val="center"/>
            </w:pPr>
            <w:r>
              <w:rPr>
                <w:sz w:val="18"/>
              </w:rPr>
              <w:t>(0.48)</w:t>
            </w:r>
          </w:p>
        </w:tc>
        <w:tc>
          <w:tcPr>
            <w:tcW w:type="dxa" w:w="1728"/>
            <w:tcBorders>
              <w:top w:val="nil"/>
              <w:bottom w:val="nil"/>
            </w:tcBorders>
          </w:tcPr>
          <w:p>
            <w:pPr>
              <w:jc w:val="center"/>
            </w:pPr>
            <w:r/>
            <w:r>
              <w:rPr>
                <w:sz w:val="18"/>
              </w:rPr>
              <w:t>-2.28</w:t>
            </w:r>
          </w:p>
          <w:p>
            <w:pPr>
              <w:jc w:val="center"/>
            </w:pPr>
            <w:r>
              <w:rPr>
                <w:sz w:val="18"/>
              </w:rPr>
              <w:t>(1.25)</w:t>
            </w:r>
          </w:p>
        </w:tc>
        <w:tc>
          <w:tcPr>
            <w:tcW w:type="dxa" w:w="1728"/>
            <w:tcBorders>
              <w:top w:val="nil"/>
              <w:bottom w:val="nil"/>
            </w:tcBorders>
          </w:tcPr>
          <w:p>
            <w:pPr>
              <w:jc w:val="center"/>
            </w:pPr>
            <w:r/>
            <w:r>
              <w:rPr>
                <w:sz w:val="18"/>
              </w:rPr>
              <w:t>2.75**</w:t>
            </w:r>
          </w:p>
          <w:p>
            <w:pPr>
              <w:jc w:val="center"/>
            </w:pPr>
            <w:r>
              <w:rPr>
                <w:sz w:val="18"/>
              </w:rPr>
              <w:t>(1.34)</w:t>
            </w:r>
          </w:p>
        </w:tc>
        <w:tc>
          <w:tcPr>
            <w:tcW w:type="dxa" w:w="1728"/>
            <w:tcBorders>
              <w:top w:val="nil"/>
              <w:bottom w:val="nil"/>
            </w:tcBorders>
          </w:tcPr>
          <w:p>
            <w:pPr>
              <w:jc w:val="center"/>
            </w:pPr>
            <w:r/>
            <w:r>
              <w:rPr>
                <w:sz w:val="18"/>
              </w:rPr>
              <w:t>2.05</w:t>
            </w:r>
          </w:p>
        </w:tc>
      </w:tr>
      <w:tr>
        <w:tc>
          <w:tcPr>
            <w:tcW w:type="dxa" w:w="1728"/>
            <w:tcBorders>
              <w:top w:val="nil"/>
              <w:bottom w:val="nil"/>
            </w:tcBorders>
          </w:tcPr>
          <w:p>
            <w:pPr>
              <w:jc w:val="center"/>
            </w:pPr>
            <w:r/>
            <w:r>
              <w:rPr>
                <w:sz w:val="18"/>
              </w:rPr>
              <w:t>Full meal price</w:t>
            </w:r>
          </w:p>
        </w:tc>
        <w:tc>
          <w:tcPr>
            <w:tcW w:type="dxa" w:w="1728"/>
            <w:tcBorders>
              <w:top w:val="nil"/>
              <w:bottom w:val="nil"/>
            </w:tcBorders>
          </w:tcPr>
          <w:p>
            <w:pPr>
              <w:jc w:val="center"/>
            </w:pPr>
            <w:r/>
            <w:r>
              <w:rPr>
                <w:sz w:val="18"/>
              </w:rPr>
              <w:t>0.07</w:t>
            </w:r>
          </w:p>
          <w:p>
            <w:pPr>
              <w:jc w:val="center"/>
            </w:pPr>
            <w:r>
              <w:rPr>
                <w:sz w:val="18"/>
              </w:rPr>
              <w:t>(0.02)</w:t>
            </w:r>
          </w:p>
        </w:tc>
        <w:tc>
          <w:tcPr>
            <w:tcW w:type="dxa" w:w="1728"/>
            <w:tcBorders>
              <w:top w:val="nil"/>
              <w:bottom w:val="nil"/>
            </w:tcBorders>
          </w:tcPr>
          <w:p>
            <w:pPr>
              <w:jc w:val="center"/>
            </w:pPr>
            <w:r/>
            <w:r>
              <w:rPr>
                <w:sz w:val="18"/>
              </w:rPr>
              <w:t>-0.03</w:t>
            </w:r>
          </w:p>
          <w:p>
            <w:pPr>
              <w:jc w:val="center"/>
            </w:pPr>
            <w:r>
              <w:rPr>
                <w:sz w:val="18"/>
              </w:rPr>
              <w:t>(0.04)</w:t>
            </w:r>
          </w:p>
        </w:tc>
        <w:tc>
          <w:tcPr>
            <w:tcW w:type="dxa" w:w="1728"/>
            <w:tcBorders>
              <w:top w:val="nil"/>
              <w:bottom w:val="nil"/>
            </w:tcBorders>
          </w:tcPr>
          <w:p>
            <w:pPr>
              <w:jc w:val="center"/>
            </w:pPr>
            <w:r/>
            <w:r>
              <w:rPr>
                <w:sz w:val="18"/>
              </w:rPr>
              <w:t>0.10**</w:t>
            </w:r>
          </w:p>
          <w:p>
            <w:pPr>
              <w:jc w:val="center"/>
            </w:pPr>
            <w:r>
              <w:rPr>
                <w:sz w:val="18"/>
              </w:rPr>
              <w:t>(0.04)</w:t>
            </w:r>
          </w:p>
        </w:tc>
        <w:tc>
          <w:tcPr>
            <w:tcW w:type="dxa" w:w="1728"/>
            <w:tcBorders>
              <w:top w:val="nil"/>
              <w:bottom w:val="nil"/>
            </w:tcBorders>
          </w:tcPr>
          <w:p>
            <w:pPr>
              <w:jc w:val="center"/>
            </w:pPr>
            <w:r/>
            <w:r>
              <w:rPr>
                <w:sz w:val="18"/>
              </w:rPr>
              <w:t>2.29</w:t>
            </w:r>
          </w:p>
        </w:tc>
      </w:tr>
      <w:tr>
        <w:tc>
          <w:tcPr>
            <w:tcW w:type="dxa" w:w="1728"/>
            <w:tcBorders>
              <w:top w:val="nil"/>
              <w:bottom w:val="nil"/>
            </w:tcBorders>
          </w:tcPr>
          <w:p>
            <w:pPr>
              <w:jc w:val="center"/>
            </w:pPr>
            <w:r/>
            <w:r>
              <w:rPr>
                <w:sz w:val="18"/>
              </w:rPr>
              <w:t>Hours open (weekday)</w:t>
            </w:r>
          </w:p>
        </w:tc>
        <w:tc>
          <w:tcPr>
            <w:tcW w:type="dxa" w:w="1728"/>
            <w:tcBorders>
              <w:top w:val="nil"/>
              <w:bottom w:val="nil"/>
            </w:tcBorders>
          </w:tcPr>
          <w:p>
            <w:pPr>
              <w:jc w:val="center"/>
            </w:pPr>
            <w:r/>
            <w:r>
              <w:rPr>
                <w:sz w:val="18"/>
              </w:rPr>
              <w:t>-0.00</w:t>
            </w:r>
          </w:p>
          <w:p>
            <w:pPr>
              <w:jc w:val="center"/>
            </w:pPr>
            <w:r>
              <w:rPr>
                <w:sz w:val="18"/>
              </w:rPr>
              <w:t>(0.06)</w:t>
            </w:r>
          </w:p>
        </w:tc>
        <w:tc>
          <w:tcPr>
            <w:tcW w:type="dxa" w:w="1728"/>
            <w:tcBorders>
              <w:top w:val="nil"/>
              <w:bottom w:val="nil"/>
            </w:tcBorders>
          </w:tcPr>
          <w:p>
            <w:pPr>
              <w:jc w:val="center"/>
            </w:pPr>
            <w:r/>
            <w:r>
              <w:rPr>
                <w:sz w:val="18"/>
              </w:rPr>
              <w:t>0.11</w:t>
            </w:r>
          </w:p>
          <w:p>
            <w:pPr>
              <w:jc w:val="center"/>
            </w:pPr>
            <w:r>
              <w:rPr>
                <w:sz w:val="18"/>
              </w:rPr>
              <w:t>(0.08)</w:t>
            </w:r>
          </w:p>
        </w:tc>
        <w:tc>
          <w:tcPr>
            <w:tcW w:type="dxa" w:w="1728"/>
            <w:tcBorders>
              <w:top w:val="nil"/>
              <w:bottom w:val="nil"/>
            </w:tcBorders>
          </w:tcPr>
          <w:p>
            <w:pPr>
              <w:jc w:val="center"/>
            </w:pPr>
            <w:r/>
            <w:r>
              <w:rPr>
                <w:sz w:val="18"/>
              </w:rPr>
              <w:t>-0.11</w:t>
            </w:r>
          </w:p>
          <w:p>
            <w:pPr>
              <w:jc w:val="center"/>
            </w:pPr>
            <w:r>
              <w:rPr>
                <w:sz w:val="18"/>
              </w:rPr>
              <w:t>(0.10)</w:t>
            </w:r>
          </w:p>
        </w:tc>
        <w:tc>
          <w:tcPr>
            <w:tcW w:type="dxa" w:w="1728"/>
            <w:tcBorders>
              <w:top w:val="nil"/>
              <w:bottom w:val="nil"/>
            </w:tcBorders>
          </w:tcPr>
          <w:p>
            <w:pPr>
              <w:jc w:val="center"/>
            </w:pPr>
            <w:r/>
            <w:r>
              <w:rPr>
                <w:sz w:val="18"/>
              </w:rPr>
              <w:t>-1.08</w:t>
            </w:r>
          </w:p>
        </w:tc>
      </w:tr>
      <w:tr>
        <w:tc>
          <w:tcPr>
            <w:tcW w:type="dxa" w:w="1728"/>
            <w:tcBorders>
              <w:top w:val="nil"/>
              <w:bottom w:val="nil"/>
            </w:tcBorders>
          </w:tcPr>
          <w:p>
            <w:pPr>
              <w:jc w:val="center"/>
            </w:pPr>
            <w:r/>
            <w:r>
              <w:rPr>
                <w:sz w:val="18"/>
              </w:rPr>
              <w:t>Full-time share</w:t>
            </w:r>
          </w:p>
        </w:tc>
        <w:tc>
          <w:tcPr>
            <w:tcW w:type="dxa" w:w="1728"/>
            <w:tcBorders>
              <w:top w:val="nil"/>
              <w:bottom w:val="nil"/>
            </w:tcBorders>
          </w:tcPr>
          <w:p>
            <w:pPr>
              <w:jc w:val="center"/>
            </w:pPr>
            <w:r/>
            <w:r>
              <w:rPr>
                <w:sz w:val="18"/>
              </w:rPr>
              <w:t>3.1</w:t>
            </w:r>
          </w:p>
          <w:p>
            <w:pPr>
              <w:jc w:val="center"/>
            </w:pPr>
            <w:r>
              <w:rPr>
                <w:sz w:val="18"/>
              </w:rPr>
              <w:t>(1.7)</w:t>
            </w:r>
          </w:p>
        </w:tc>
        <w:tc>
          <w:tcPr>
            <w:tcW w:type="dxa" w:w="1728"/>
            <w:tcBorders>
              <w:top w:val="nil"/>
              <w:bottom w:val="nil"/>
            </w:tcBorders>
          </w:tcPr>
          <w:p>
            <w:pPr>
              <w:jc w:val="center"/>
            </w:pPr>
            <w:r/>
            <w:r>
              <w:rPr>
                <w:sz w:val="18"/>
              </w:rPr>
              <w:t>-4.7</w:t>
            </w:r>
          </w:p>
          <w:p>
            <w:pPr>
              <w:jc w:val="center"/>
            </w:pPr>
            <w:r>
              <w:rPr>
                <w:sz w:val="18"/>
              </w:rPr>
              <w:t>(3.9)</w:t>
            </w:r>
          </w:p>
        </w:tc>
        <w:tc>
          <w:tcPr>
            <w:tcW w:type="dxa" w:w="1728"/>
            <w:tcBorders>
              <w:top w:val="nil"/>
              <w:bottom w:val="nil"/>
            </w:tcBorders>
          </w:tcPr>
          <w:p>
            <w:pPr>
              <w:jc w:val="center"/>
            </w:pPr>
            <w:r/>
            <w:r>
              <w:rPr>
                <w:sz w:val="18"/>
              </w:rPr>
              <w:t>7.8*</w:t>
            </w:r>
          </w:p>
          <w:p>
            <w:pPr>
              <w:jc w:val="center"/>
            </w:pPr>
            <w:r>
              <w:rPr>
                <w:sz w:val="18"/>
              </w:rPr>
              <w:t>(4.3)</w:t>
            </w:r>
          </w:p>
        </w:tc>
        <w:tc>
          <w:tcPr>
            <w:tcW w:type="dxa" w:w="1728"/>
            <w:tcBorders>
              <w:top w:val="nil"/>
              <w:bottom w:val="nil"/>
            </w:tcBorders>
          </w:tcPr>
          <w:p>
            <w:pPr>
              <w:jc w:val="center"/>
            </w:pPr>
            <w:r/>
            <w:r>
              <w:rPr>
                <w:sz w:val="18"/>
              </w:rPr>
              <w:t>1.83</w:t>
            </w:r>
          </w:p>
        </w:tc>
      </w:tr>
      <w:tr>
        <w:tc>
          <w:tcPr>
            <w:tcW w:type="dxa" w:w="1728"/>
            <w:tcBorders>
              <w:top w:val="nil"/>
              <w:bottom w:val="nil"/>
            </w:tcBorders>
          </w:tcPr>
          <w:p>
            <w:pPr>
              <w:jc w:val="center"/>
            </w:pPr>
            <w:r/>
            <w:r>
              <w:rPr>
                <w:sz w:val="18"/>
              </w:rPr>
              <w:t>Recruiting bonus</w:t>
            </w:r>
          </w:p>
        </w:tc>
        <w:tc>
          <w:tcPr>
            <w:tcW w:type="dxa" w:w="1728"/>
            <w:tcBorders>
              <w:top w:val="nil"/>
              <w:bottom w:val="nil"/>
            </w:tcBorders>
          </w:tcPr>
          <w:p>
            <w:pPr>
              <w:jc w:val="center"/>
            </w:pPr>
            <w:r/>
            <w:r>
              <w:rPr>
                <w:sz w:val="18"/>
              </w:rPr>
              <w:t>-4.1</w:t>
            </w:r>
          </w:p>
          <w:p>
            <w:pPr>
              <w:jc w:val="center"/>
            </w:pPr>
            <w:r>
              <w:rPr>
                <w:sz w:val="18"/>
              </w:rPr>
              <w:t>(3.2)</w:t>
            </w:r>
          </w:p>
        </w:tc>
        <w:tc>
          <w:tcPr>
            <w:tcW w:type="dxa" w:w="1728"/>
            <w:tcBorders>
              <w:top w:val="nil"/>
              <w:bottom w:val="nil"/>
            </w:tcBorders>
          </w:tcPr>
          <w:p>
            <w:pPr>
              <w:jc w:val="center"/>
            </w:pPr>
            <w:r/>
            <w:r>
              <w:rPr>
                <w:sz w:val="18"/>
              </w:rPr>
              <w:t>-6.5</w:t>
            </w:r>
          </w:p>
          <w:p>
            <w:pPr>
              <w:jc w:val="center"/>
            </w:pPr>
            <w:r>
              <w:rPr>
                <w:sz w:val="18"/>
              </w:rPr>
              <w:t>(6.2)</w:t>
            </w:r>
          </w:p>
        </w:tc>
        <w:tc>
          <w:tcPr>
            <w:tcW w:type="dxa" w:w="1728"/>
            <w:tcBorders>
              <w:top w:val="nil"/>
              <w:bottom w:val="nil"/>
            </w:tcBorders>
          </w:tcPr>
          <w:p>
            <w:pPr>
              <w:jc w:val="center"/>
            </w:pPr>
            <w:r/>
            <w:r>
              <w:rPr>
                <w:sz w:val="18"/>
              </w:rPr>
              <w:t>2.4</w:t>
            </w:r>
          </w:p>
          <w:p>
            <w:pPr>
              <w:jc w:val="center"/>
            </w:pPr>
            <w:r>
              <w:rPr>
                <w:sz w:val="18"/>
              </w:rPr>
              <w:t>(7.0)</w:t>
            </w:r>
          </w:p>
        </w:tc>
        <w:tc>
          <w:tcPr>
            <w:tcW w:type="dxa" w:w="1728"/>
            <w:tcBorders>
              <w:top w:val="nil"/>
              <w:bottom w:val="nil"/>
            </w:tcBorders>
          </w:tcPr>
          <w:p>
            <w:pPr>
              <w:jc w:val="center"/>
            </w:pPr>
            <w:r/>
            <w:r>
              <w:rPr>
                <w:sz w:val="18"/>
              </w:rPr>
              <w:t>0.34</w:t>
            </w:r>
          </w:p>
        </w:tc>
      </w:tr>
      <w:tr>
        <w:tc>
          <w:tcPr>
            <w:tcW w:type="dxa" w:w="1728"/>
            <w:tcBorders>
              <w:top w:val="nil"/>
              <w:bottom w:val="single" w:sz="12"/>
            </w:tcBorders>
          </w:tcPr>
          <w:p>
            <w:pPr>
              <w:jc w:val="center"/>
            </w:pPr>
            <w:r/>
            <w:r>
              <w:rPr>
                <w:sz w:val="18"/>
              </w:rPr>
              <w:t>Cash registers</w:t>
            </w:r>
          </w:p>
        </w:tc>
        <w:tc>
          <w:tcPr>
            <w:tcW w:type="dxa" w:w="1728"/>
            <w:tcBorders>
              <w:top w:val="nil"/>
              <w:bottom w:val="single" w:sz="12"/>
            </w:tcBorders>
          </w:tcPr>
          <w:p>
            <w:pPr>
              <w:jc w:val="center"/>
            </w:pPr>
            <w:r/>
            <w:r>
              <w:rPr>
                <w:sz w:val="18"/>
              </w:rPr>
              <w:t>-0.04</w:t>
            </w:r>
          </w:p>
          <w:p>
            <w:pPr>
              <w:jc w:val="center"/>
            </w:pPr>
            <w:r>
              <w:rPr>
                <w:sz w:val="18"/>
              </w:rPr>
              <w:t>(0.04)</w:t>
            </w:r>
          </w:p>
        </w:tc>
        <w:tc>
          <w:tcPr>
            <w:tcW w:type="dxa" w:w="1728"/>
            <w:tcBorders>
              <w:top w:val="nil"/>
              <w:bottom w:val="single" w:sz="12"/>
            </w:tcBorders>
          </w:tcPr>
          <w:p>
            <w:pPr>
              <w:jc w:val="center"/>
            </w:pPr>
            <w:r/>
            <w:r>
              <w:rPr>
                <w:sz w:val="18"/>
              </w:rPr>
              <w:t>0.13</w:t>
            </w:r>
          </w:p>
          <w:p>
            <w:pPr>
              <w:jc w:val="center"/>
            </w:pPr>
            <w:r>
              <w:rPr>
                <w:sz w:val="18"/>
              </w:rPr>
              <w:t>(0.10)</w:t>
            </w:r>
          </w:p>
        </w:tc>
        <w:tc>
          <w:tcPr>
            <w:tcW w:type="dxa" w:w="1728"/>
            <w:tcBorders>
              <w:top w:val="nil"/>
              <w:bottom w:val="single" w:sz="12"/>
            </w:tcBorders>
          </w:tcPr>
          <w:p>
            <w:pPr>
              <w:jc w:val="center"/>
            </w:pPr>
            <w:r/>
            <w:r>
              <w:rPr>
                <w:sz w:val="18"/>
              </w:rPr>
              <w:t>-0.17</w:t>
            </w:r>
          </w:p>
          <w:p>
            <w:pPr>
              <w:jc w:val="center"/>
            </w:pPr>
            <w:r>
              <w:rPr>
                <w:sz w:val="18"/>
              </w:rPr>
              <w:t>(0.11)</w:t>
            </w:r>
          </w:p>
        </w:tc>
        <w:tc>
          <w:tcPr>
            <w:tcW w:type="dxa" w:w="1728"/>
            <w:tcBorders>
              <w:top w:val="nil"/>
              <w:bottom w:val="single" w:sz="12"/>
            </w:tcBorders>
          </w:tcPr>
          <w:p>
            <w:pPr>
              <w:jc w:val="center"/>
            </w:pPr>
            <w:r/>
            <w:r>
              <w:rPr>
                <w:sz w:val="18"/>
              </w:rPr>
              <w:t>-1.61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