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TABLE 2—MEANS OF SELECTED OUTCOME VARIABLES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744"/>
            <w:tcBorders>
              <w:top w:val="single" w:sz="12" w:space="0" w:color="000000"/>
              <w:bottom w:val="nil"/>
              <w:left w:val="nil"/>
              <w:right w:val="nil"/>
            </w:tcBorders>
          </w:tcPr>
          <w:p>
            <w:pPr>
              <w:spacing w:before="20" w:after="20"/>
              <w:jc w:val="left"/>
            </w:pPr>
            <w:r/>
            <w:r>
              <w:rPr>
                <w:b w:val="0"/>
                <w:i w:val="0"/>
                <w:sz w:val="17"/>
              </w:rPr>
              <w:t>Variable</w:t>
            </w:r>
          </w:p>
        </w:tc>
        <w:tc>
          <w:tcPr>
            <w:tcW w:type="dxa" w:w="1966"/>
            <w:gridSpan w:val="2"/>
            <w:tcBorders>
              <w:top w:val="single" w:sz="12" w:space="0" w:color="000000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Stores in:</w:t>
            </w:r>
          </w:p>
        </w:tc>
        <w:tc>
          <w:tcPr>
            <w:tcW w:type="dxa" w:w="1685"/>
            <w:tcBorders>
              <w:top w:val="single" w:sz="12" w:space="0" w:color="000000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t^a</w:t>
            </w:r>
          </w:p>
        </w:tc>
      </w:tr>
      <w:tr>
        <w:tc>
          <w:tcPr>
            <w:tcW w:type="dxa" w:w="3744"/>
            <w:tcBorders>
              <w:top w:val="nil"/>
              <w:bottom w:val="single" w:sz="6" w:space="0" w:color="000000"/>
              <w:left w:val="nil"/>
              <w:right w:val="nil"/>
            </w:tcBorders>
          </w:tcPr>
          <w:p>
            <w:pPr>
              <w:spacing w:before="20" w:after="20"/>
              <w:jc w:val="left"/>
            </w:pPr>
            <w:r/>
            <w:r>
              <w:rPr>
                <w:b w:val="0"/>
                <w:i w:val="0"/>
                <w:sz w:val="17"/>
              </w:rPr>
            </w:r>
          </w:p>
        </w:tc>
        <w:tc>
          <w:tcPr>
            <w:tcW w:type="dxa" w:w="1966"/>
            <w:tcBorders>
              <w:top w:val="nil"/>
              <w:bottom w:val="single" w:sz="6" w:space="0" w:color="000000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NJ</w:t>
            </w:r>
          </w:p>
        </w:tc>
        <w:tc>
          <w:tcPr>
            <w:tcW w:type="dxa" w:w="1966"/>
            <w:tcBorders>
              <w:top w:val="nil"/>
              <w:bottom w:val="single" w:sz="6" w:space="0" w:color="000000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PA</w:t>
            </w:r>
          </w:p>
        </w:tc>
        <w:tc>
          <w:tcPr>
            <w:tcW w:type="dxa" w:w="1685"/>
            <w:tcBorders>
              <w:top w:val="nil"/>
              <w:bottom w:val="single" w:sz="6" w:space="0" w:color="000000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</w:r>
          </w:p>
        </w:tc>
      </w:tr>
      <w:tr>
        <w:tc>
          <w:tcPr>
            <w:tcW w:type="dxa" w:w="1685"/>
            <w:gridSpan w:val="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left"/>
            </w:pPr>
            <w:r/>
            <w:r>
              <w:rPr>
                <w:b w:val="0"/>
                <w:i/>
                <w:sz w:val="17"/>
              </w:rPr>
              <w:t>1. Distribution of store types (percentages):</w:t>
            </w:r>
          </w:p>
        </w:tc>
      </w:tr>
      <w:tr>
        <w:tc>
          <w:tcPr>
            <w:tcW w:type="dxa" w:w="374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left"/>
            </w:pPr>
            <w:r/>
            <w:r>
              <w:rPr>
                <w:b w:val="0"/>
                <w:i w:val="0"/>
                <w:sz w:val="17"/>
              </w:rPr>
              <w:t>a. Burger King</w:t>
            </w:r>
          </w:p>
        </w:tc>
        <w:tc>
          <w:tcPr>
            <w:tcW w:type="dxa" w:w="19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41.1</w:t>
              <w:br/>
            </w:r>
            <w:r>
              <w:rPr>
                <w:b w:val="0"/>
                <w:i w:val="0"/>
                <w:sz w:val="17"/>
              </w:rPr>
              <w:t>(2.7)</w:t>
            </w:r>
          </w:p>
        </w:tc>
        <w:tc>
          <w:tcPr>
            <w:tcW w:type="dxa" w:w="19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44.3</w:t>
              <w:br/>
            </w:r>
            <w:r>
              <w:rPr>
                <w:b w:val="0"/>
                <w:i w:val="0"/>
                <w:sz w:val="17"/>
              </w:rPr>
              <w:t>(5.6)</w:t>
            </w:r>
          </w:p>
        </w:tc>
        <w:tc>
          <w:tcPr>
            <w:tcW w:type="dxa" w:w="168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-0.5</w:t>
            </w:r>
          </w:p>
        </w:tc>
      </w:tr>
      <w:tr>
        <w:tc>
          <w:tcPr>
            <w:tcW w:type="dxa" w:w="374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left"/>
            </w:pPr>
            <w:r/>
            <w:r>
              <w:rPr>
                <w:b w:val="0"/>
                <w:i w:val="0"/>
                <w:sz w:val="17"/>
              </w:rPr>
              <w:t>b. KFC</w:t>
            </w:r>
          </w:p>
        </w:tc>
        <w:tc>
          <w:tcPr>
            <w:tcW w:type="dxa" w:w="19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20.5</w:t>
              <w:br/>
            </w:r>
            <w:r>
              <w:rPr>
                <w:b w:val="0"/>
                <w:i w:val="0"/>
                <w:sz w:val="17"/>
              </w:rPr>
              <w:t>(2.2)</w:t>
            </w:r>
          </w:p>
        </w:tc>
        <w:tc>
          <w:tcPr>
            <w:tcW w:type="dxa" w:w="19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15.2</w:t>
              <w:br/>
            </w:r>
            <w:r>
              <w:rPr>
                <w:b w:val="0"/>
                <w:i w:val="0"/>
                <w:sz w:val="17"/>
              </w:rPr>
              <w:t>(4.1)</w:t>
            </w:r>
          </w:p>
        </w:tc>
        <w:tc>
          <w:tcPr>
            <w:tcW w:type="dxa" w:w="168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1.2</w:t>
            </w:r>
          </w:p>
        </w:tc>
      </w:tr>
      <w:tr>
        <w:tc>
          <w:tcPr>
            <w:tcW w:type="dxa" w:w="374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left"/>
            </w:pPr>
            <w:r/>
            <w:r>
              <w:rPr>
                <w:b w:val="0"/>
                <w:i w:val="0"/>
                <w:sz w:val="17"/>
              </w:rPr>
              <w:t>c. Roy Rogers</w:t>
            </w:r>
          </w:p>
        </w:tc>
        <w:tc>
          <w:tcPr>
            <w:tcW w:type="dxa" w:w="19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24.8</w:t>
              <w:br/>
            </w:r>
            <w:r>
              <w:rPr>
                <w:b w:val="0"/>
                <w:i w:val="0"/>
                <w:sz w:val="17"/>
              </w:rPr>
              <w:t>(2.4)</w:t>
            </w:r>
          </w:p>
        </w:tc>
        <w:tc>
          <w:tcPr>
            <w:tcW w:type="dxa" w:w="19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21.5</w:t>
              <w:br/>
            </w:r>
            <w:r>
              <w:rPr>
                <w:b w:val="0"/>
                <w:i w:val="0"/>
                <w:sz w:val="17"/>
              </w:rPr>
              <w:t>(4.7)</w:t>
            </w:r>
          </w:p>
        </w:tc>
        <w:tc>
          <w:tcPr>
            <w:tcW w:type="dxa" w:w="168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0.6</w:t>
            </w:r>
          </w:p>
        </w:tc>
      </w:tr>
      <w:tr>
        <w:tc>
          <w:tcPr>
            <w:tcW w:type="dxa" w:w="374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left"/>
            </w:pPr>
            <w:r/>
            <w:r>
              <w:rPr>
                <w:b w:val="0"/>
                <w:i w:val="0"/>
                <w:sz w:val="17"/>
              </w:rPr>
              <w:t>d. Wendy's</w:t>
            </w:r>
          </w:p>
        </w:tc>
        <w:tc>
          <w:tcPr>
            <w:tcW w:type="dxa" w:w="19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13.6</w:t>
              <w:br/>
            </w:r>
            <w:r>
              <w:rPr>
                <w:b w:val="0"/>
                <w:i w:val="0"/>
                <w:sz w:val="17"/>
              </w:rPr>
              <w:t>(1.9)</w:t>
            </w:r>
          </w:p>
        </w:tc>
        <w:tc>
          <w:tcPr>
            <w:tcW w:type="dxa" w:w="19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19.0</w:t>
              <w:br/>
            </w:r>
            <w:r>
              <w:rPr>
                <w:b w:val="0"/>
                <w:i w:val="0"/>
                <w:sz w:val="17"/>
              </w:rPr>
              <w:t>(4.4)</w:t>
            </w:r>
          </w:p>
        </w:tc>
        <w:tc>
          <w:tcPr>
            <w:tcW w:type="dxa" w:w="168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-1.1</w:t>
            </w:r>
          </w:p>
        </w:tc>
      </w:tr>
      <w:tr>
        <w:tc>
          <w:tcPr>
            <w:tcW w:type="dxa" w:w="374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left"/>
            </w:pPr>
            <w:r/>
            <w:r>
              <w:rPr>
                <w:b w:val="0"/>
                <w:i w:val="0"/>
                <w:sz w:val="17"/>
              </w:rPr>
              <w:t>e. Company-owned</w:t>
            </w:r>
          </w:p>
        </w:tc>
        <w:tc>
          <w:tcPr>
            <w:tcW w:type="dxa" w:w="19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34.1</w:t>
              <w:br/>
            </w:r>
            <w:r>
              <w:rPr>
                <w:b w:val="0"/>
                <w:i w:val="0"/>
                <w:sz w:val="17"/>
              </w:rPr>
              <w:t>(2.6)</w:t>
            </w:r>
          </w:p>
        </w:tc>
        <w:tc>
          <w:tcPr>
            <w:tcW w:type="dxa" w:w="19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35.4</w:t>
              <w:br/>
            </w:r>
            <w:r>
              <w:rPr>
                <w:b w:val="0"/>
                <w:i w:val="0"/>
                <w:sz w:val="17"/>
              </w:rPr>
              <w:t>(5.4)</w:t>
            </w:r>
          </w:p>
        </w:tc>
        <w:tc>
          <w:tcPr>
            <w:tcW w:type="dxa" w:w="168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-0.2</w:t>
            </w:r>
          </w:p>
        </w:tc>
      </w:tr>
      <w:tr>
        <w:tc>
          <w:tcPr>
            <w:tcW w:type="dxa" w:w="1685"/>
            <w:gridSpan w:val="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left"/>
            </w:pPr>
            <w:r/>
            <w:r>
              <w:rPr>
                <w:b w:val="0"/>
                <w:i/>
                <w:sz w:val="17"/>
              </w:rPr>
              <w:t>2. Means in wave 1:</w:t>
            </w:r>
          </w:p>
        </w:tc>
      </w:tr>
      <w:tr>
        <w:tc>
          <w:tcPr>
            <w:tcW w:type="dxa" w:w="374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left"/>
            </w:pPr>
            <w:r/>
            <w:r>
              <w:rPr>
                <w:b w:val="0"/>
                <w:i w:val="0"/>
                <w:sz w:val="17"/>
              </w:rPr>
              <w:t>f. FTE employment</w:t>
            </w:r>
          </w:p>
        </w:tc>
        <w:tc>
          <w:tcPr>
            <w:tcW w:type="dxa" w:w="19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20.44</w:t>
              <w:br/>
            </w:r>
            <w:r>
              <w:rPr>
                <w:b w:val="0"/>
                <w:i w:val="0"/>
                <w:sz w:val="17"/>
              </w:rPr>
              <w:t>(0.51)</w:t>
            </w:r>
          </w:p>
        </w:tc>
        <w:tc>
          <w:tcPr>
            <w:tcW w:type="dxa" w:w="19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23.33</w:t>
              <w:br/>
            </w:r>
            <w:r>
              <w:rPr>
                <w:b w:val="0"/>
                <w:i w:val="0"/>
                <w:sz w:val="17"/>
              </w:rPr>
              <w:t>(1.35)</w:t>
            </w:r>
          </w:p>
        </w:tc>
        <w:tc>
          <w:tcPr>
            <w:tcW w:type="dxa" w:w="168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-2.0</w:t>
            </w:r>
          </w:p>
        </w:tc>
      </w:tr>
      <w:tr>
        <w:tc>
          <w:tcPr>
            <w:tcW w:type="dxa" w:w="374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left"/>
            </w:pPr>
            <w:r/>
            <w:r>
              <w:rPr>
                <w:b w:val="0"/>
                <w:i w:val="0"/>
                <w:sz w:val="17"/>
              </w:rPr>
              <w:t>g. Percentage full-time employees</w:t>
            </w:r>
          </w:p>
        </w:tc>
        <w:tc>
          <w:tcPr>
            <w:tcW w:type="dxa" w:w="19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28.6</w:t>
              <w:br/>
            </w:r>
            <w:r>
              <w:rPr>
                <w:b w:val="0"/>
                <w:i w:val="0"/>
                <w:sz w:val="17"/>
              </w:rPr>
              <w:t>(1.3)</w:t>
            </w:r>
          </w:p>
        </w:tc>
        <w:tc>
          <w:tcPr>
            <w:tcW w:type="dxa" w:w="19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30.3</w:t>
              <w:br/>
            </w:r>
            <w:r>
              <w:rPr>
                <w:b w:val="0"/>
                <w:i w:val="0"/>
                <w:sz w:val="17"/>
              </w:rPr>
              <w:t>(2.7)</w:t>
            </w:r>
          </w:p>
        </w:tc>
        <w:tc>
          <w:tcPr>
            <w:tcW w:type="dxa" w:w="168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-0.6</w:t>
            </w:r>
          </w:p>
        </w:tc>
      </w:tr>
      <w:tr>
        <w:tc>
          <w:tcPr>
            <w:tcW w:type="dxa" w:w="374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left"/>
            </w:pPr>
            <w:r/>
            <w:r>
              <w:rPr>
                <w:b w:val="0"/>
                <w:i w:val="0"/>
                <w:sz w:val="17"/>
              </w:rPr>
              <w:t>h. Starting wage</w:t>
            </w:r>
          </w:p>
        </w:tc>
        <w:tc>
          <w:tcPr>
            <w:tcW w:type="dxa" w:w="19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4.61</w:t>
              <w:br/>
            </w:r>
            <w:r>
              <w:rPr>
                <w:b w:val="0"/>
                <w:i w:val="0"/>
                <w:sz w:val="17"/>
              </w:rPr>
              <w:t>(0.02)</w:t>
            </w:r>
          </w:p>
        </w:tc>
        <w:tc>
          <w:tcPr>
            <w:tcW w:type="dxa" w:w="19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4.63</w:t>
              <w:br/>
            </w:r>
            <w:r>
              <w:rPr>
                <w:b w:val="0"/>
                <w:i w:val="0"/>
                <w:sz w:val="17"/>
              </w:rPr>
              <w:t>(0.04)</w:t>
            </w:r>
          </w:p>
        </w:tc>
        <w:tc>
          <w:tcPr>
            <w:tcW w:type="dxa" w:w="168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-0.4</w:t>
            </w:r>
          </w:p>
        </w:tc>
      </w:tr>
      <w:tr>
        <w:tc>
          <w:tcPr>
            <w:tcW w:type="dxa" w:w="374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left"/>
            </w:pPr>
            <w:r/>
            <w:r>
              <w:rPr>
                <w:b w:val="0"/>
                <w:i w:val="0"/>
                <w:sz w:val="17"/>
              </w:rPr>
              <w:t>i. Wage = $4.25 (percentage)</w:t>
            </w:r>
          </w:p>
        </w:tc>
        <w:tc>
          <w:tcPr>
            <w:tcW w:type="dxa" w:w="19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30.5</w:t>
              <w:br/>
            </w:r>
            <w:r>
              <w:rPr>
                <w:b w:val="0"/>
                <w:i w:val="0"/>
                <w:sz w:val="17"/>
              </w:rPr>
              <w:t>(2.5)</w:t>
            </w:r>
          </w:p>
        </w:tc>
        <w:tc>
          <w:tcPr>
            <w:tcW w:type="dxa" w:w="19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32.9</w:t>
              <w:br/>
            </w:r>
            <w:r>
              <w:rPr>
                <w:b w:val="0"/>
                <w:i w:val="0"/>
                <w:sz w:val="17"/>
              </w:rPr>
              <w:t>(5.3)</w:t>
            </w:r>
          </w:p>
        </w:tc>
        <w:tc>
          <w:tcPr>
            <w:tcW w:type="dxa" w:w="168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-0.4</w:t>
            </w:r>
          </w:p>
        </w:tc>
      </w:tr>
      <w:tr>
        <w:tc>
          <w:tcPr>
            <w:tcW w:type="dxa" w:w="374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left"/>
            </w:pPr>
            <w:r/>
            <w:r>
              <w:rPr>
                <w:b w:val="0"/>
                <w:i w:val="0"/>
                <w:sz w:val="17"/>
              </w:rPr>
              <w:t>j. Price of full meal</w:t>
            </w:r>
          </w:p>
        </w:tc>
        <w:tc>
          <w:tcPr>
            <w:tcW w:type="dxa" w:w="19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3.35</w:t>
              <w:br/>
            </w:r>
            <w:r>
              <w:rPr>
                <w:b w:val="0"/>
                <w:i w:val="0"/>
                <w:sz w:val="17"/>
              </w:rPr>
              <w:t>(0.04)</w:t>
            </w:r>
          </w:p>
        </w:tc>
        <w:tc>
          <w:tcPr>
            <w:tcW w:type="dxa" w:w="19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3.04</w:t>
              <w:br/>
            </w:r>
            <w:r>
              <w:rPr>
                <w:b w:val="0"/>
                <w:i w:val="0"/>
                <w:sz w:val="17"/>
              </w:rPr>
              <w:t>(0.07)</w:t>
            </w:r>
          </w:p>
        </w:tc>
        <w:tc>
          <w:tcPr>
            <w:tcW w:type="dxa" w:w="168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4.0</w:t>
            </w:r>
          </w:p>
        </w:tc>
      </w:tr>
      <w:tr>
        <w:tc>
          <w:tcPr>
            <w:tcW w:type="dxa" w:w="374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left"/>
            </w:pPr>
            <w:r/>
            <w:r>
              <w:rPr>
                <w:b w:val="0"/>
                <w:i w:val="0"/>
                <w:sz w:val="17"/>
              </w:rPr>
              <w:t>k. Hours open (weekday)</w:t>
            </w:r>
          </w:p>
        </w:tc>
        <w:tc>
          <w:tcPr>
            <w:tcW w:type="dxa" w:w="19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14.42</w:t>
              <w:br/>
            </w:r>
            <w:r>
              <w:rPr>
                <w:b w:val="0"/>
                <w:i w:val="0"/>
                <w:sz w:val="17"/>
              </w:rPr>
              <w:t>(0.15)</w:t>
            </w:r>
          </w:p>
        </w:tc>
        <w:tc>
          <w:tcPr>
            <w:tcW w:type="dxa" w:w="19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14.53</w:t>
              <w:br/>
            </w:r>
            <w:r>
              <w:rPr>
                <w:b w:val="0"/>
                <w:i w:val="0"/>
                <w:sz w:val="17"/>
              </w:rPr>
              <w:t>(0.33)</w:t>
            </w:r>
          </w:p>
        </w:tc>
        <w:tc>
          <w:tcPr>
            <w:tcW w:type="dxa" w:w="168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-0.3</w:t>
            </w:r>
          </w:p>
        </w:tc>
      </w:tr>
      <w:tr>
        <w:tc>
          <w:tcPr>
            <w:tcW w:type="dxa" w:w="374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left"/>
            </w:pPr>
            <w:r/>
            <w:r>
              <w:rPr>
                <w:b w:val="0"/>
                <w:i w:val="0"/>
                <w:sz w:val="17"/>
              </w:rPr>
              <w:t>l. Recruiting bonus</w:t>
            </w:r>
          </w:p>
        </w:tc>
        <w:tc>
          <w:tcPr>
            <w:tcW w:type="dxa" w:w="19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23.6</w:t>
              <w:br/>
            </w:r>
            <w:r>
              <w:rPr>
                <w:b w:val="0"/>
                <w:i w:val="0"/>
                <w:sz w:val="17"/>
              </w:rPr>
              <w:t>(2.3)</w:t>
            </w:r>
          </w:p>
        </w:tc>
        <w:tc>
          <w:tcPr>
            <w:tcW w:type="dxa" w:w="19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29.1</w:t>
              <w:br/>
            </w:r>
            <w:r>
              <w:rPr>
                <w:b w:val="0"/>
                <w:i w:val="0"/>
                <w:sz w:val="17"/>
              </w:rPr>
              <w:t>(5.1)</w:t>
            </w:r>
          </w:p>
        </w:tc>
        <w:tc>
          <w:tcPr>
            <w:tcW w:type="dxa" w:w="168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-1.0</w:t>
            </w:r>
          </w:p>
        </w:tc>
      </w:tr>
      <w:tr>
        <w:tc>
          <w:tcPr>
            <w:tcW w:type="dxa" w:w="1685"/>
            <w:gridSpan w:val="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left"/>
            </w:pPr>
            <w:r/>
            <w:r>
              <w:rPr>
                <w:b w:val="0"/>
                <w:i/>
                <w:sz w:val="17"/>
              </w:rPr>
              <w:t>3. Means in wave 2:</w:t>
            </w:r>
          </w:p>
        </w:tc>
      </w:tr>
      <w:tr>
        <w:tc>
          <w:tcPr>
            <w:tcW w:type="dxa" w:w="374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left"/>
            </w:pPr>
            <w:r/>
            <w:r>
              <w:rPr>
                <w:b w:val="0"/>
                <w:i w:val="0"/>
                <w:sz w:val="17"/>
              </w:rPr>
              <w:t>m. FTE employment</w:t>
            </w:r>
          </w:p>
        </w:tc>
        <w:tc>
          <w:tcPr>
            <w:tcW w:type="dxa" w:w="19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20.44</w:t>
              <w:br/>
            </w:r>
            <w:r>
              <w:rPr>
                <w:b w:val="0"/>
                <w:i w:val="0"/>
                <w:sz w:val="17"/>
              </w:rPr>
              <w:t>(0.51)</w:t>
            </w:r>
          </w:p>
        </w:tc>
        <w:tc>
          <w:tcPr>
            <w:tcW w:type="dxa" w:w="19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23.33</w:t>
              <w:br/>
            </w:r>
            <w:r>
              <w:rPr>
                <w:b w:val="0"/>
                <w:i w:val="0"/>
                <w:sz w:val="17"/>
              </w:rPr>
              <w:t>(1.35)</w:t>
            </w:r>
          </w:p>
        </w:tc>
        <w:tc>
          <w:tcPr>
            <w:tcW w:type="dxa" w:w="168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-2.0</w:t>
            </w:r>
          </w:p>
        </w:tc>
      </w:tr>
      <w:tr>
        <w:tc>
          <w:tcPr>
            <w:tcW w:type="dxa" w:w="374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left"/>
            </w:pPr>
            <w:r/>
            <w:r>
              <w:rPr>
                <w:b w:val="0"/>
                <w:i w:val="0"/>
                <w:sz w:val="17"/>
              </w:rPr>
              <w:t>n. Percentage full-time employees</w:t>
            </w:r>
          </w:p>
        </w:tc>
        <w:tc>
          <w:tcPr>
            <w:tcW w:type="dxa" w:w="19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28.6</w:t>
              <w:br/>
            </w:r>
            <w:r>
              <w:rPr>
                <w:b w:val="0"/>
                <w:i w:val="0"/>
                <w:sz w:val="17"/>
              </w:rPr>
              <w:t>(1.3)</w:t>
            </w:r>
          </w:p>
        </w:tc>
        <w:tc>
          <w:tcPr>
            <w:tcW w:type="dxa" w:w="19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30.3</w:t>
              <w:br/>
            </w:r>
            <w:r>
              <w:rPr>
                <w:b w:val="0"/>
                <w:i w:val="0"/>
                <w:sz w:val="17"/>
              </w:rPr>
              <w:t>(2.7)</w:t>
            </w:r>
          </w:p>
        </w:tc>
        <w:tc>
          <w:tcPr>
            <w:tcW w:type="dxa" w:w="168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-0.6</w:t>
            </w:r>
          </w:p>
        </w:tc>
      </w:tr>
      <w:tr>
        <w:tc>
          <w:tcPr>
            <w:tcW w:type="dxa" w:w="374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left"/>
            </w:pPr>
            <w:r/>
            <w:r>
              <w:rPr>
                <w:b w:val="0"/>
                <w:i w:val="0"/>
                <w:sz w:val="17"/>
              </w:rPr>
              <w:t>o. Starting wage</w:t>
            </w:r>
          </w:p>
        </w:tc>
        <w:tc>
          <w:tcPr>
            <w:tcW w:type="dxa" w:w="19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4.61</w:t>
              <w:br/>
            </w:r>
            <w:r>
              <w:rPr>
                <w:b w:val="0"/>
                <w:i w:val="0"/>
                <w:sz w:val="17"/>
              </w:rPr>
              <w:t>(0.02)</w:t>
            </w:r>
          </w:p>
        </w:tc>
        <w:tc>
          <w:tcPr>
            <w:tcW w:type="dxa" w:w="19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4.63</w:t>
              <w:br/>
            </w:r>
            <w:r>
              <w:rPr>
                <w:b w:val="0"/>
                <w:i w:val="0"/>
                <w:sz w:val="17"/>
              </w:rPr>
              <w:t>(0.04)</w:t>
            </w:r>
          </w:p>
        </w:tc>
        <w:tc>
          <w:tcPr>
            <w:tcW w:type="dxa" w:w="168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-0.4</w:t>
            </w:r>
          </w:p>
        </w:tc>
      </w:tr>
      <w:tr>
        <w:tc>
          <w:tcPr>
            <w:tcW w:type="dxa" w:w="374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left"/>
            </w:pPr>
            <w:r/>
            <w:r>
              <w:rPr>
                <w:b w:val="0"/>
                <w:i w:val="0"/>
                <w:sz w:val="17"/>
              </w:rPr>
              <w:t>p. Wage = $4.25 (percentage)</w:t>
            </w:r>
          </w:p>
        </w:tc>
        <w:tc>
          <w:tcPr>
            <w:tcW w:type="dxa" w:w="19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30.5</w:t>
              <w:br/>
            </w:r>
            <w:r>
              <w:rPr>
                <w:b w:val="0"/>
                <w:i w:val="0"/>
                <w:sz w:val="17"/>
              </w:rPr>
              <w:t>(2.5)</w:t>
            </w:r>
          </w:p>
        </w:tc>
        <w:tc>
          <w:tcPr>
            <w:tcW w:type="dxa" w:w="19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32.9</w:t>
              <w:br/>
            </w:r>
            <w:r>
              <w:rPr>
                <w:b w:val="0"/>
                <w:i w:val="0"/>
                <w:sz w:val="17"/>
              </w:rPr>
              <w:t>(5.3)</w:t>
            </w:r>
          </w:p>
        </w:tc>
        <w:tc>
          <w:tcPr>
            <w:tcW w:type="dxa" w:w="168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-0.4</w:t>
            </w:r>
          </w:p>
        </w:tc>
      </w:tr>
      <w:tr>
        <w:tc>
          <w:tcPr>
            <w:tcW w:type="dxa" w:w="374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left"/>
            </w:pPr>
            <w:r/>
            <w:r>
              <w:rPr>
                <w:b w:val="0"/>
                <w:i w:val="0"/>
                <w:sz w:val="17"/>
              </w:rPr>
              <w:t>q. Wage = $5.05 (percentage)</w:t>
            </w:r>
          </w:p>
        </w:tc>
        <w:tc>
          <w:tcPr>
            <w:tcW w:type="dxa" w:w="19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85.5</w:t>
              <w:br/>
            </w:r>
            <w:r>
              <w:rPr>
                <w:b w:val="0"/>
                <w:i w:val="0"/>
                <w:sz w:val="17"/>
              </w:rPr>
              <w:t>(1.9)</w:t>
            </w:r>
          </w:p>
        </w:tc>
        <w:tc>
          <w:tcPr>
            <w:tcW w:type="dxa" w:w="19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1.3</w:t>
              <w:br/>
            </w:r>
            <w:r>
              <w:rPr>
                <w:b w:val="0"/>
                <w:i w:val="0"/>
                <w:sz w:val="17"/>
              </w:rPr>
              <w:t>(1.3)</w:t>
            </w:r>
          </w:p>
        </w:tc>
        <w:tc>
          <w:tcPr>
            <w:tcW w:type="dxa" w:w="168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36.4</w:t>
            </w:r>
          </w:p>
        </w:tc>
      </w:tr>
      <w:tr>
        <w:tc>
          <w:tcPr>
            <w:tcW w:type="dxa" w:w="374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left"/>
            </w:pPr>
            <w:r/>
            <w:r>
              <w:rPr>
                <w:b w:val="0"/>
                <w:i w:val="0"/>
                <w:sz w:val="17"/>
              </w:rPr>
              <w:t>r. Price of full meal</w:t>
            </w:r>
          </w:p>
        </w:tc>
        <w:tc>
          <w:tcPr>
            <w:tcW w:type="dxa" w:w="19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3.35</w:t>
              <w:br/>
            </w:r>
            <w:r>
              <w:rPr>
                <w:b w:val="0"/>
                <w:i w:val="0"/>
                <w:sz w:val="17"/>
              </w:rPr>
              <w:t>(0.04)</w:t>
            </w:r>
          </w:p>
        </w:tc>
        <w:tc>
          <w:tcPr>
            <w:tcW w:type="dxa" w:w="19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3.04</w:t>
              <w:br/>
            </w:r>
            <w:r>
              <w:rPr>
                <w:b w:val="0"/>
                <w:i w:val="0"/>
                <w:sz w:val="17"/>
              </w:rPr>
              <w:t>(0.07)</w:t>
            </w:r>
          </w:p>
        </w:tc>
        <w:tc>
          <w:tcPr>
            <w:tcW w:type="dxa" w:w="168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4.0</w:t>
            </w:r>
          </w:p>
        </w:tc>
      </w:tr>
      <w:tr>
        <w:tc>
          <w:tcPr>
            <w:tcW w:type="dxa" w:w="374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left"/>
            </w:pPr>
            <w:r/>
            <w:r>
              <w:rPr>
                <w:b w:val="0"/>
                <w:i w:val="0"/>
                <w:sz w:val="17"/>
              </w:rPr>
              <w:t>s. Hours open (weekday)</w:t>
            </w:r>
          </w:p>
        </w:tc>
        <w:tc>
          <w:tcPr>
            <w:tcW w:type="dxa" w:w="19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14.42</w:t>
              <w:br/>
            </w:r>
            <w:r>
              <w:rPr>
                <w:b w:val="0"/>
                <w:i w:val="0"/>
                <w:sz w:val="17"/>
              </w:rPr>
              <w:t>(0.15)</w:t>
            </w:r>
          </w:p>
        </w:tc>
        <w:tc>
          <w:tcPr>
            <w:tcW w:type="dxa" w:w="19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14.53</w:t>
              <w:br/>
            </w:r>
            <w:r>
              <w:rPr>
                <w:b w:val="0"/>
                <w:i w:val="0"/>
                <w:sz w:val="17"/>
              </w:rPr>
              <w:t>(0.33)</w:t>
            </w:r>
          </w:p>
        </w:tc>
        <w:tc>
          <w:tcPr>
            <w:tcW w:type="dxa" w:w="168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-0.3</w:t>
            </w:r>
          </w:p>
        </w:tc>
      </w:tr>
      <w:tr>
        <w:tc>
          <w:tcPr>
            <w:tcW w:type="dxa" w:w="3744"/>
            <w:tcBorders>
              <w:top w:val="nil"/>
              <w:bottom w:val="single" w:sz="12" w:space="0" w:color="000000"/>
              <w:left w:val="nil"/>
              <w:right w:val="nil"/>
            </w:tcBorders>
          </w:tcPr>
          <w:p>
            <w:pPr>
              <w:spacing w:before="20" w:after="20"/>
              <w:jc w:val="left"/>
            </w:pPr>
            <w:r/>
            <w:r>
              <w:rPr>
                <w:b w:val="0"/>
                <w:i w:val="0"/>
                <w:sz w:val="17"/>
              </w:rPr>
              <w:t>t. Recruiting bonus</w:t>
            </w:r>
          </w:p>
        </w:tc>
        <w:tc>
          <w:tcPr>
            <w:tcW w:type="dxa" w:w="1966"/>
            <w:tcBorders>
              <w:top w:val="nil"/>
              <w:bottom w:val="single" w:sz="12" w:space="0" w:color="000000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23.6</w:t>
              <w:br/>
            </w:r>
            <w:r>
              <w:rPr>
                <w:b w:val="0"/>
                <w:i w:val="0"/>
                <w:sz w:val="17"/>
              </w:rPr>
              <w:t>(2.3)</w:t>
            </w:r>
          </w:p>
        </w:tc>
        <w:tc>
          <w:tcPr>
            <w:tcW w:type="dxa" w:w="1966"/>
            <w:tcBorders>
              <w:top w:val="nil"/>
              <w:bottom w:val="single" w:sz="12" w:space="0" w:color="000000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29.1</w:t>
              <w:br/>
            </w:r>
            <w:r>
              <w:rPr>
                <w:b w:val="0"/>
                <w:i w:val="0"/>
                <w:sz w:val="17"/>
              </w:rPr>
              <w:t>(5.1)</w:t>
            </w:r>
          </w:p>
        </w:tc>
        <w:tc>
          <w:tcPr>
            <w:tcW w:type="dxa" w:w="1685"/>
            <w:tcBorders>
              <w:top w:val="nil"/>
              <w:bottom w:val="single" w:sz="12" w:space="0" w:color="000000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-1.0</w:t>
            </w:r>
          </w:p>
        </w:tc>
      </w:tr>
    </w:tbl>
    <w:p>
      <w:r>
        <w:rPr>
          <w:sz w:val="16"/>
        </w:rPr>
        <w:t>Notes: Standard errors are given in parentheses. See text for definitions of the variables.</w:t>
      </w:r>
    </w:p>
    <w:p>
      <w:r>
        <w:rPr>
          <w:sz w:val="16"/>
        </w:rPr>
        <w:t>^a Test of equality of means in New Jersey and Pennsylvania.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