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TABLE 4—REDUCED-FORM MODELS FOR CHANGE IN EMPLOYMENT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3744"/>
            <w:tcBorders>
              <w:top w:val="single" w:sz="12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7"/>
              </w:rPr>
              <w:t>Independent variable</w:t>
            </w:r>
          </w:p>
        </w:tc>
        <w:tc>
          <w:tcPr>
            <w:tcW w:type="dxa" w:w="1123"/>
            <w:tcBorders>
              <w:top w:val="single" w:sz="12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(i)</w:t>
            </w:r>
          </w:p>
        </w:tc>
        <w:tc>
          <w:tcPr>
            <w:tcW w:type="dxa" w:w="1123"/>
            <w:tcBorders>
              <w:top w:val="single" w:sz="12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(ii)</w:t>
            </w:r>
          </w:p>
        </w:tc>
        <w:tc>
          <w:tcPr>
            <w:tcW w:type="dxa" w:w="1123"/>
            <w:tcBorders>
              <w:top w:val="single" w:sz="12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(iii)</w:t>
            </w:r>
          </w:p>
        </w:tc>
        <w:tc>
          <w:tcPr>
            <w:tcW w:type="dxa" w:w="1123"/>
            <w:tcBorders>
              <w:top w:val="single" w:sz="12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(iv)</w:t>
            </w:r>
          </w:p>
        </w:tc>
        <w:tc>
          <w:tcPr>
            <w:tcW w:type="dxa" w:w="1123"/>
            <w:tcBorders>
              <w:top w:val="single" w:sz="12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(v)</w:t>
            </w:r>
          </w:p>
        </w:tc>
      </w:tr>
      <w:tr>
        <w:tc>
          <w:tcPr>
            <w:tcW w:type="dxa" w:w="374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7"/>
              </w:rPr>
              <w:t>1. New Jersey dummy</w:t>
            </w:r>
          </w:p>
        </w:tc>
        <w:tc>
          <w:tcPr>
            <w:tcW w:type="dxa" w:w="1123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2.33</w:t>
              <w:br/>
            </w:r>
            <w:r>
              <w:rPr>
                <w:b w:val="0"/>
                <w:i w:val="0"/>
                <w:sz w:val="17"/>
              </w:rPr>
              <w:t>(1.19)</w:t>
            </w:r>
          </w:p>
        </w:tc>
        <w:tc>
          <w:tcPr>
            <w:tcW w:type="dxa" w:w="1123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2.30</w:t>
              <w:br/>
            </w:r>
            <w:r>
              <w:rPr>
                <w:b w:val="0"/>
                <w:i w:val="0"/>
                <w:sz w:val="17"/>
              </w:rPr>
              <w:t>(1.20)</w:t>
            </w:r>
          </w:p>
        </w:tc>
        <w:tc>
          <w:tcPr>
            <w:tcW w:type="dxa" w:w="1123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1123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1123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</w:tr>
      <w:tr>
        <w:tc>
          <w:tcPr>
            <w:tcW w:type="dxa" w:w="374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7"/>
              </w:rPr>
              <w:t>2. Initial wage gap^a</w:t>
            </w:r>
          </w:p>
        </w:tc>
        <w:tc>
          <w:tcPr>
            <w:tcW w:type="dxa" w:w="1123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1123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1123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15.65</w:t>
              <w:br/>
            </w:r>
            <w:r>
              <w:rPr>
                <w:b w:val="0"/>
                <w:i w:val="0"/>
                <w:sz w:val="17"/>
              </w:rPr>
              <w:t>(6.08)</w:t>
            </w:r>
          </w:p>
        </w:tc>
        <w:tc>
          <w:tcPr>
            <w:tcW w:type="dxa" w:w="1123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14.92</w:t>
              <w:br/>
            </w:r>
            <w:r>
              <w:rPr>
                <w:b w:val="0"/>
                <w:i w:val="0"/>
                <w:sz w:val="17"/>
              </w:rPr>
              <w:t>(6.21)</w:t>
            </w:r>
          </w:p>
        </w:tc>
        <w:tc>
          <w:tcPr>
            <w:tcW w:type="dxa" w:w="1123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11.98</w:t>
              <w:br/>
            </w:r>
            <w:r>
              <w:rPr>
                <w:b w:val="0"/>
                <w:i w:val="0"/>
                <w:sz w:val="17"/>
              </w:rPr>
              <w:t>(7.42)</w:t>
            </w:r>
          </w:p>
        </w:tc>
      </w:tr>
      <w:tr>
        <w:tc>
          <w:tcPr>
            <w:tcW w:type="dxa" w:w="374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7"/>
              </w:rPr>
              <w:t>3. Controls for chain and ownership^b</w:t>
            </w:r>
          </w:p>
        </w:tc>
        <w:tc>
          <w:tcPr>
            <w:tcW w:type="dxa" w:w="1123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no</w:t>
            </w:r>
          </w:p>
        </w:tc>
        <w:tc>
          <w:tcPr>
            <w:tcW w:type="dxa" w:w="1123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yes</w:t>
            </w:r>
          </w:p>
        </w:tc>
        <w:tc>
          <w:tcPr>
            <w:tcW w:type="dxa" w:w="1123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no</w:t>
            </w:r>
          </w:p>
        </w:tc>
        <w:tc>
          <w:tcPr>
            <w:tcW w:type="dxa" w:w="1123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yes</w:t>
            </w:r>
          </w:p>
        </w:tc>
        <w:tc>
          <w:tcPr>
            <w:tcW w:type="dxa" w:w="1123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yes</w:t>
            </w:r>
          </w:p>
        </w:tc>
      </w:tr>
      <w:tr>
        <w:tc>
          <w:tcPr>
            <w:tcW w:type="dxa" w:w="374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7"/>
              </w:rPr>
              <w:t>4. Controls for region^c</w:t>
            </w:r>
          </w:p>
        </w:tc>
        <w:tc>
          <w:tcPr>
            <w:tcW w:type="dxa" w:w="1123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no</w:t>
            </w:r>
          </w:p>
        </w:tc>
        <w:tc>
          <w:tcPr>
            <w:tcW w:type="dxa" w:w="1123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no</w:t>
            </w:r>
          </w:p>
        </w:tc>
        <w:tc>
          <w:tcPr>
            <w:tcW w:type="dxa" w:w="1123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no</w:t>
            </w:r>
          </w:p>
        </w:tc>
        <w:tc>
          <w:tcPr>
            <w:tcW w:type="dxa" w:w="1123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no</w:t>
            </w:r>
          </w:p>
        </w:tc>
        <w:tc>
          <w:tcPr>
            <w:tcW w:type="dxa" w:w="1123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yes</w:t>
            </w:r>
          </w:p>
        </w:tc>
      </w:tr>
      <w:tr>
        <w:tc>
          <w:tcPr>
            <w:tcW w:type="dxa" w:w="374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7"/>
              </w:rPr>
              <w:t>5. Standard error of regression</w:t>
            </w:r>
          </w:p>
        </w:tc>
        <w:tc>
          <w:tcPr>
            <w:tcW w:type="dxa" w:w="1123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8.79</w:t>
            </w:r>
          </w:p>
        </w:tc>
        <w:tc>
          <w:tcPr>
            <w:tcW w:type="dxa" w:w="1123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8.78</w:t>
            </w:r>
          </w:p>
        </w:tc>
        <w:tc>
          <w:tcPr>
            <w:tcW w:type="dxa" w:w="1123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8.76</w:t>
            </w:r>
          </w:p>
        </w:tc>
        <w:tc>
          <w:tcPr>
            <w:tcW w:type="dxa" w:w="1123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8.76</w:t>
            </w:r>
          </w:p>
        </w:tc>
        <w:tc>
          <w:tcPr>
            <w:tcW w:type="dxa" w:w="1123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8.75</w:t>
            </w:r>
          </w:p>
        </w:tc>
      </w:tr>
      <w:tr>
        <w:tc>
          <w:tcPr>
            <w:tcW w:type="dxa" w:w="3744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7"/>
              </w:rPr>
              <w:t>6. Probability value for controls^d</w:t>
            </w:r>
          </w:p>
        </w:tc>
        <w:tc>
          <w:tcPr>
            <w:tcW w:type="dxa" w:w="1123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1123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0.34</w:t>
            </w:r>
          </w:p>
        </w:tc>
        <w:tc>
          <w:tcPr>
            <w:tcW w:type="dxa" w:w="1123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1123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0.44</w:t>
            </w:r>
          </w:p>
        </w:tc>
        <w:tc>
          <w:tcPr>
            <w:tcW w:type="dxa" w:w="1123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7"/>
              </w:rPr>
              <w:t>0.40</w:t>
            </w:r>
          </w:p>
        </w:tc>
      </w:tr>
    </w:tbl>
    <w:p>
      <w:r>
        <w:rPr>
          <w:sz w:val="16"/>
        </w:rPr>
        <w:t>Notes: Standard errors are given in parentheses. The sample consists of 357 stores with available data on employment and starting wages in waves 1 and 2. The dependent variable in all models is change in FTE employment (mean −0.238, standard deviation 8.825). All models include an unrestricted constant (not reported).</w:t>
      </w:r>
    </w:p>
    <w:p>
      <w:r>
        <w:rPr>
          <w:sz w:val="16"/>
        </w:rPr>
        <w:t>^a Proportional increase in starting wage required to reach the new minimum wage; the wage gap is 0 for Pennsylvania stores.</w:t>
      </w:r>
    </w:p>
    <w:p>
      <w:r>
        <w:rPr>
          <w:sz w:val="16"/>
        </w:rPr>
        <w:t>^b Three dummy variables for chain type and a dummy for company ownership.</w:t>
      </w:r>
    </w:p>
    <w:p>
      <w:r>
        <w:rPr>
          <w:sz w:val="16"/>
        </w:rPr>
        <w:t>^c Dummy variables for three regions of New Jersey (North, Central, South) and two regions of eastern Pennsylvania.</w:t>
      </w:r>
    </w:p>
    <w:p>
      <w:r>
        <w:rPr>
          <w:sz w:val="16"/>
        </w:rPr>
        <w:t>^d Probability value of the joint F test for exclusion of all control variables.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