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753B" w14:textId="709A7475" w:rsidR="00DE7C40" w:rsidRDefault="007732ED" w:rsidP="007732ED">
      <w:pPr>
        <w:pStyle w:val="1"/>
        <w:jc w:val="center"/>
      </w:pPr>
      <w:r w:rsidRPr="007732ED">
        <w:rPr>
          <w:rFonts w:hint="eastAsia"/>
        </w:rPr>
        <w:t>架构设计大作业</w:t>
      </w:r>
    </w:p>
    <w:p w14:paraId="19910BF3" w14:textId="77777777" w:rsidR="007732ED" w:rsidRDefault="007732ED" w:rsidP="007732ED">
      <w:pPr>
        <w:pStyle w:val="2"/>
      </w:pPr>
      <w:r>
        <w:t>1 设计概述</w:t>
      </w:r>
    </w:p>
    <w:p w14:paraId="4D78BE3B" w14:textId="7240E908" w:rsidR="007732ED" w:rsidRP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是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通达物流快递公司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的后端核心系统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承担着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通达的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同城快递业务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的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开展工作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。预计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在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两个月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内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系统上线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241920BC" w14:textId="1C9BC1D8" w:rsidR="007732ED" w:rsidRDefault="007732ED" w:rsidP="007732ED">
      <w:pPr>
        <w:pStyle w:val="3"/>
      </w:pPr>
      <w:r>
        <w:t>1.1 功能概述</w:t>
      </w:r>
    </w:p>
    <w:p w14:paraId="730991C1" w14:textId="361F1CE1" w:rsid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主要功能包括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下单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,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 xml:space="preserve"> </w:t>
      </w:r>
      <w:proofErr w:type="gramStart"/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抢单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proofErr w:type="gramEnd"/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5A3665">
        <w:rPr>
          <w:rFonts w:ascii="Arial" w:hAnsi="Arial" w:cs="Arial" w:hint="eastAsia"/>
          <w:color w:val="494949"/>
          <w:kern w:val="0"/>
          <w:sz w:val="19"/>
          <w:szCs w:val="19"/>
        </w:rPr>
        <w:t>上报快递员地址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查询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快递，更新快递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状态的核心功能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。系统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使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者包括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用户，快递员，仓储物流系统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.</w:t>
      </w:r>
    </w:p>
    <w:p w14:paraId="17CCC0E0" w14:textId="4444222E" w:rsidR="00C16C27" w:rsidRDefault="00A009A4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A009A4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04E02657" wp14:editId="18E3E0B6">
            <wp:extent cx="5274310" cy="3963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144" w14:textId="0624BFF2" w:rsidR="00E9661A" w:rsidRDefault="007755D3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AE44C4E" wp14:editId="484ADED8">
            <wp:extent cx="5274310" cy="490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90" w14:textId="77777777" w:rsidR="007732ED" w:rsidRDefault="007732ED" w:rsidP="00C16C27">
      <w:pPr>
        <w:pStyle w:val="3"/>
      </w:pPr>
      <w:r>
        <w:t xml:space="preserve">1.2 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ascii="等线" w:eastAsia="等线" w:hAnsi="等线" w:cs="等线" w:hint="eastAsia"/>
        </w:rPr>
        <w:t>功能约束</w:t>
      </w:r>
    </w:p>
    <w:p w14:paraId="702E6DAA" w14:textId="233829A9" w:rsidR="003E25F3" w:rsidRDefault="007732E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系统未来预计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三个月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用户量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万，快递员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3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00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人，</w:t>
      </w:r>
      <w:proofErr w:type="gramStart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日单超过</w:t>
      </w:r>
      <w:proofErr w:type="gramEnd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万，一年</w:t>
      </w:r>
      <w:proofErr w:type="gramStart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日单超过</w:t>
      </w:r>
      <w:proofErr w:type="gramEnd"/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50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5C080142" w14:textId="03DE4F4E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用户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下单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/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3A253664" w14:textId="51219C5A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2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快递抢</w:t>
      </w:r>
      <w:proofErr w:type="gramStart"/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单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proofErr w:type="gramEnd"/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0845C006" w14:textId="46DA73FA" w:rsidR="009C5DC1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 xml:space="preserve">3. </w:t>
      </w:r>
      <w:r>
        <w:rPr>
          <w:rFonts w:ascii="Arial" w:hAnsi="Arial" w:cs="Arial"/>
          <w:color w:val="494949"/>
          <w:kern w:val="0"/>
          <w:sz w:val="19"/>
          <w:szCs w:val="19"/>
        </w:rPr>
        <w:t>查询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快递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状态</w:t>
      </w:r>
      <w:r>
        <w:rPr>
          <w:rFonts w:ascii="Arial" w:hAnsi="Arial" w:cs="Arial"/>
          <w:color w:val="494949"/>
          <w:kern w:val="0"/>
          <w:sz w:val="19"/>
          <w:szCs w:val="19"/>
        </w:rPr>
        <w:t>性能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TPS&gt;100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20302B1F" w14:textId="6DC1E88A" w:rsidR="005A3665" w:rsidRPr="009C5DC1" w:rsidRDefault="005A3665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 w:hint="eastAsia"/>
          <w:color w:val="494949"/>
          <w:kern w:val="0"/>
          <w:sz w:val="19"/>
          <w:szCs w:val="19"/>
        </w:rPr>
        <w:t>4.</w:t>
      </w:r>
      <w:r>
        <w:rPr>
          <w:rFonts w:ascii="Arial" w:hAnsi="Arial" w:cs="Arial"/>
          <w:color w:val="494949"/>
          <w:kern w:val="0"/>
          <w:sz w:val="19"/>
          <w:szCs w:val="19"/>
        </w:rPr>
        <w:t xml:space="preserve"> </w:t>
      </w:r>
      <w:r w:rsidR="00E60D0F">
        <w:rPr>
          <w:rFonts w:ascii="Arial" w:hAnsi="Arial" w:cs="Arial" w:hint="eastAsia"/>
          <w:color w:val="494949"/>
          <w:kern w:val="0"/>
          <w:sz w:val="19"/>
          <w:szCs w:val="19"/>
        </w:rPr>
        <w:t>更新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快递员地址性能目标：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40A46602" w14:textId="49270A87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系统核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⼼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功能可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&gt;99.97%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19D0544E" w14:textId="19E88E9C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6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系统安全性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标：系统可拦截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X</w:t>
      </w:r>
      <w:r w:rsidR="00B767F2">
        <w:rPr>
          <w:rFonts w:ascii="等线" w:eastAsia="等线" w:hAnsi="等线" w:cs="等线"/>
          <w:color w:val="494949"/>
          <w:kern w:val="0"/>
          <w:sz w:val="19"/>
          <w:szCs w:val="19"/>
        </w:rPr>
        <w:t>SS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B767F2">
        <w:rPr>
          <w:rFonts w:ascii="Arial" w:hAnsi="Arial" w:cs="Arial" w:hint="eastAsia"/>
          <w:color w:val="494949"/>
          <w:kern w:val="0"/>
          <w:sz w:val="19"/>
          <w:szCs w:val="19"/>
        </w:rPr>
        <w:t>注入攻击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196771">
        <w:rPr>
          <w:rFonts w:ascii="Arial" w:hAnsi="Arial" w:cs="Arial"/>
          <w:color w:val="494949"/>
          <w:kern w:val="0"/>
          <w:sz w:val="19"/>
          <w:szCs w:val="19"/>
        </w:rPr>
        <w:t>CSRF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攻击，密码数据散列加密，客户端数据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HTTPS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加密，外部系统间通信对称加密；</w:t>
      </w:r>
    </w:p>
    <w:p w14:paraId="683EE21D" w14:textId="4D28BEC0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7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数据持久化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&gt;99.99%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</w:p>
    <w:p w14:paraId="4F757210" w14:textId="77777777" w:rsidR="007732ED" w:rsidRDefault="007732ED" w:rsidP="00196771">
      <w:pPr>
        <w:pStyle w:val="2"/>
      </w:pPr>
      <w:r>
        <w:lastRenderedPageBreak/>
        <w:t>2 系统部署图与整体设计</w:t>
      </w:r>
    </w:p>
    <w:p w14:paraId="75344F77" w14:textId="6E555FF5" w:rsidR="007732ED" w:rsidRDefault="007732ED" w:rsidP="00196771">
      <w:pPr>
        <w:pStyle w:val="3"/>
      </w:pPr>
      <w:r>
        <w:t>2.1 系统部署图</w:t>
      </w:r>
    </w:p>
    <w:p w14:paraId="5C4F2A8C" w14:textId="2CF6A14A" w:rsidR="00B7020D" w:rsidRPr="00B7020D" w:rsidRDefault="007F2BCD" w:rsidP="00B7020D">
      <w:r w:rsidRPr="007F2BCD">
        <w:drawing>
          <wp:inline distT="0" distB="0" distL="0" distR="0" wp14:anchorId="0C966EED" wp14:editId="42F6DEA4">
            <wp:extent cx="5274310" cy="4989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CB21" w14:textId="7D4BB00B" w:rsidR="007732ED" w:rsidRDefault="007732ED" w:rsidP="00196771">
      <w:pPr>
        <w:pStyle w:val="3"/>
      </w:pPr>
      <w:r>
        <w:t xml:space="preserve">2.2 </w:t>
      </w:r>
      <w:r w:rsidR="00C16C27">
        <w:rPr>
          <w:rFonts w:hint="eastAsia"/>
        </w:rPr>
        <w:t>系统的整体需求</w:t>
      </w:r>
    </w:p>
    <w:p w14:paraId="7C89CDF4" w14:textId="77777777" w:rsidR="007F2BCD" w:rsidRDefault="00886C85" w:rsidP="00886C85">
      <w:pP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1.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用户通过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进行下单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，支付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快递通过快递A</w:t>
      </w:r>
      <w:r w:rsidR="00462F7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查询，抢单，更新订单状态。</w:t>
      </w:r>
    </w:p>
    <w:p w14:paraId="64B29E90" w14:textId="13C80C3A" w:rsidR="00462F7A" w:rsidRDefault="00462F7A" w:rsidP="00886C85">
      <w:pP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相关页面使用第三方C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DN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对静态文件缓存。相关服务通过</w:t>
      </w:r>
      <w:proofErr w:type="spellStart"/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nginx</w:t>
      </w:r>
      <w:proofErr w:type="spellEnd"/>
      <w:r w:rsidR="00B85748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负载均衡接入应用接入网关。</w:t>
      </w:r>
      <w:r w:rsidR="00B85748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</w:p>
    <w:p w14:paraId="44397C24" w14:textId="27EEDF17" w:rsid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2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 xml:space="preserve">. </w:t>
      </w:r>
      <w:proofErr w:type="gramStart"/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</w:t>
      </w:r>
      <w:proofErr w:type="gramEnd"/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“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更新实时地址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”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快递A</w:t>
      </w:r>
      <w:r w:rsidR="00886C85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每30秒上报一次快递员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地址，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实时地址信息在</w:t>
      </w:r>
      <w:proofErr w:type="spellStart"/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redis</w:t>
      </w:r>
      <w:proofErr w:type="spellEnd"/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中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缓存。</w:t>
      </w:r>
      <w:r w:rsidR="00C7223B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R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edis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的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存储结构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设计为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：Key值：城市-区</w:t>
      </w:r>
    </w:p>
    <w:p w14:paraId="27017801" w14:textId="4F7A6D21" w:rsidR="00886C85" w:rsidRDefault="00E9661A" w:rsidP="00E9661A">
      <w:pPr>
        <w:autoSpaceDE w:val="0"/>
        <w:autoSpaceDN w:val="0"/>
        <w:adjustRightInd w:val="0"/>
        <w:ind w:firstLineChars="100" w:firstLine="19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lastRenderedPageBreak/>
        <w:t xml:space="preserve"> </w:t>
      </w:r>
      <w:r w:rsidR="00C7223B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Value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值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为hash结构，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保存内容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：快递员Id，快递员实时地址。</w:t>
      </w:r>
    </w:p>
    <w:p w14:paraId="6AB2DDB4" w14:textId="6D7E709D" w:rsid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3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快递单推送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”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：订单支付完成后，从</w:t>
      </w:r>
      <w:proofErr w:type="spellStart"/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redis</w:t>
      </w:r>
      <w:proofErr w:type="spellEnd"/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中获取附近快递员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实时地址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计算出5公里内快递员列表，将用户地址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</w:t>
      </w:r>
      <w:proofErr w:type="spellStart"/>
      <w:r w:rsidR="004A26F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kafka</w:t>
      </w:r>
      <w:proofErr w:type="spellEnd"/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消息队列向快递员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proofErr w:type="gramStart"/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推送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抢单</w:t>
      </w:r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通知</w:t>
      </w:r>
      <w:proofErr w:type="gramEnd"/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</w:p>
    <w:p w14:paraId="19301943" w14:textId="68615B93" w:rsid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4</w:t>
      </w:r>
      <w:r w:rsidR="004A67A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proofErr w:type="gramStart"/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</w:t>
      </w:r>
      <w:proofErr w:type="gramEnd"/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“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订单微服务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”：提供订单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相关服务，包括订单创建，订单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状态更新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，订单查询等。</w:t>
      </w:r>
    </w:p>
    <w:p w14:paraId="7A0315B4" w14:textId="25786F6E" w:rsidR="00B85748" w:rsidRPr="00E9661A" w:rsidRDefault="00B85748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5.</w:t>
      </w:r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mysql主备同步。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写</w:t>
      </w:r>
      <w:proofErr w:type="gramStart"/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操作</w:t>
      </w:r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写主数据库</w:t>
      </w:r>
      <w:proofErr w:type="gramEnd"/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，读</w:t>
      </w:r>
      <w:proofErr w:type="gramStart"/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操作从备数据库</w:t>
      </w:r>
      <w:proofErr w:type="gramEnd"/>
      <w:r w:rsidR="00A009A4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读取。</w:t>
      </w:r>
    </w:p>
    <w:p w14:paraId="5DCD8F43" w14:textId="50DB1612" w:rsidR="00C16C27" w:rsidRDefault="00C16C2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</w:p>
    <w:p w14:paraId="6192DD5A" w14:textId="7D52AEB1" w:rsidR="007732ED" w:rsidRDefault="007732ED" w:rsidP="00196771">
      <w:pPr>
        <w:pStyle w:val="3"/>
      </w:pPr>
      <w:r>
        <w:lastRenderedPageBreak/>
        <w:t xml:space="preserve">2.3 </w:t>
      </w:r>
      <w:proofErr w:type="gramStart"/>
      <w:r w:rsidR="00313E13">
        <w:rPr>
          <w:rFonts w:hint="eastAsia"/>
        </w:rPr>
        <w:t>下单抢单场景</w:t>
      </w:r>
      <w:proofErr w:type="gramEnd"/>
      <w:r>
        <w:rPr>
          <w:rFonts w:ascii="等线" w:eastAsia="等线" w:hAnsi="等线" w:cs="等线" w:hint="eastAsia"/>
        </w:rPr>
        <w:t>序列图</w:t>
      </w:r>
    </w:p>
    <w:p w14:paraId="6703B02E" w14:textId="64A8A165" w:rsidR="00313E13" w:rsidRDefault="00F555AB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F555AB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34448ED0" wp14:editId="25905DA6">
            <wp:extent cx="5693923" cy="792940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890" cy="79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1052" w14:textId="05B40D27" w:rsidR="007732ED" w:rsidRDefault="007732ED" w:rsidP="00196771">
      <w:pPr>
        <w:pStyle w:val="3"/>
      </w:pPr>
      <w:r>
        <w:lastRenderedPageBreak/>
        <w:t xml:space="preserve">2.4 </w:t>
      </w:r>
      <w:r w:rsidR="00313E13">
        <w:rPr>
          <w:rFonts w:hint="eastAsia"/>
        </w:rPr>
        <w:t>订单状态图</w:t>
      </w:r>
    </w:p>
    <w:p w14:paraId="5133E0DD" w14:textId="4C0176C4" w:rsidR="007732ED" w:rsidRDefault="00313E13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313E13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6F362341" wp14:editId="445216B7">
            <wp:extent cx="5274310" cy="495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D2E19" w14:textId="77777777" w:rsidR="003E7099" w:rsidRDefault="003E7099" w:rsidP="001044A4">
      <w:r>
        <w:separator/>
      </w:r>
    </w:p>
  </w:endnote>
  <w:endnote w:type="continuationSeparator" w:id="0">
    <w:p w14:paraId="5903080C" w14:textId="77777777" w:rsidR="003E7099" w:rsidRDefault="003E7099" w:rsidP="0010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AC2EB" w14:textId="77777777" w:rsidR="003E7099" w:rsidRDefault="003E7099" w:rsidP="001044A4">
      <w:r>
        <w:separator/>
      </w:r>
    </w:p>
  </w:footnote>
  <w:footnote w:type="continuationSeparator" w:id="0">
    <w:p w14:paraId="071BD660" w14:textId="77777777" w:rsidR="003E7099" w:rsidRDefault="003E7099" w:rsidP="0010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41"/>
    <w:rsid w:val="000B2F9C"/>
    <w:rsid w:val="001044A4"/>
    <w:rsid w:val="00177EA2"/>
    <w:rsid w:val="00196771"/>
    <w:rsid w:val="001F0D67"/>
    <w:rsid w:val="00225142"/>
    <w:rsid w:val="002E22C7"/>
    <w:rsid w:val="00313E13"/>
    <w:rsid w:val="003E25F3"/>
    <w:rsid w:val="003E7099"/>
    <w:rsid w:val="00462F7A"/>
    <w:rsid w:val="004A26FD"/>
    <w:rsid w:val="004A67AA"/>
    <w:rsid w:val="004F75F5"/>
    <w:rsid w:val="005A3665"/>
    <w:rsid w:val="005D4D41"/>
    <w:rsid w:val="005D588D"/>
    <w:rsid w:val="007002C4"/>
    <w:rsid w:val="007732ED"/>
    <w:rsid w:val="007755D3"/>
    <w:rsid w:val="007F2BCD"/>
    <w:rsid w:val="00804686"/>
    <w:rsid w:val="00816439"/>
    <w:rsid w:val="0086041B"/>
    <w:rsid w:val="00886C85"/>
    <w:rsid w:val="009C5DC1"/>
    <w:rsid w:val="00A009A4"/>
    <w:rsid w:val="00B25BC7"/>
    <w:rsid w:val="00B7020D"/>
    <w:rsid w:val="00B767F2"/>
    <w:rsid w:val="00B83D0F"/>
    <w:rsid w:val="00B85748"/>
    <w:rsid w:val="00B94835"/>
    <w:rsid w:val="00C16C27"/>
    <w:rsid w:val="00C7223B"/>
    <w:rsid w:val="00C74E28"/>
    <w:rsid w:val="00D648E6"/>
    <w:rsid w:val="00DE7C40"/>
    <w:rsid w:val="00E34A3D"/>
    <w:rsid w:val="00E60D0F"/>
    <w:rsid w:val="00E9661A"/>
    <w:rsid w:val="00F01A52"/>
    <w:rsid w:val="00F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25B72"/>
  <w15:chartTrackingRefBased/>
  <w15:docId w15:val="{C8AEE261-B59E-441B-B054-474BEBCF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7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3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32E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32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7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0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D5316-4DE8-4F58-82BA-92486762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zhu</dc:creator>
  <cp:keywords/>
  <dc:description/>
  <cp:lastModifiedBy>tracy zhu</cp:lastModifiedBy>
  <cp:revision>16</cp:revision>
  <dcterms:created xsi:type="dcterms:W3CDTF">2020-08-11T08:40:00Z</dcterms:created>
  <dcterms:modified xsi:type="dcterms:W3CDTF">2020-09-10T07:10:00Z</dcterms:modified>
</cp:coreProperties>
</file>