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4117"/>
                  </w:pPr>
                </w:p>
                <w:p>
                  <w:pPr>
                    <w:spacing w:after="500" w:line="312"/>
                  </w:pPr>
                  <w:r>
                    <w:rPr>
                      <w:rFonts w:ascii="Calibri" w:eastAsia="SimHei"/>
                      <w:color w:val="D4875A"/>
                      <w:spacing w:val="60"/>
                      <w:sz w:val="18"/>
                      <w:szCs w:val="18"/>
                    </w:rPr>
                    <w:t xml:space="preserve">L I V I N G   R O A D M A P</w:t>
                  </w:r>
                </w:p>
                <w:p>
                  <w:pPr>
                    <w:spacing w:after="200" w:line="920" w:lineRule="atLeast"/>
                  </w:pPr>
                  <w:r>
                    <w:rPr>
                      <w:rFonts w:ascii="Arial" w:eastAsia="SimHei"/>
                      <w:b/>
                      <w:bCs/>
                      <w:color w:val="FFFFFF"/>
                      <w:sz w:val="80"/>
                      <w:szCs w:val="80"/>
                    </w:rPr>
                    <w:t xml:space="preserve">MetabolicInt Roadmap</w:t>
                  </w:r>
                </w:p>
                <w:p>
                  <w:pPr>
                    <w:spacing w:after="100" w:line="312"/>
                  </w:pPr>
                  <w:r>
                    <w:rPr>
                      <w:rFonts w:ascii="Arial" w:eastAsia="Microsoft YaHei"/>
                      <w:color w:val="B0B8C0"/>
                      <w:sz w:val="24"/>
                      <w:szCs w:val="24"/>
                    </w:rPr>
                    <w:t xml:space="preserve">Product &amp; Deployment Roadmap — Delivered Scope and Forward Plan</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60" w:hRule="exact"/>
              </w:trPr>
              <w:tc>
                <w:tcPr>
                  <w:tcBorders>
                    <w:top w:val="none" w:color="FFFFFF" w:sz="0"/>
                    <w:left w:val="none" w:color="FFFFFF" w:sz="0"/>
                    <w:bottom w:val="none" w:color="FFFFFF" w:sz="0"/>
                    <w:right w:val="none" w:color="FFFFFF" w:sz="0"/>
                  </w:tcBorders>
                  <w:shd w:fill="D4875A" w:val="clear"/>
                </w:tcPr>
                <w:p>
                  <w:pPr>
                    <w:spacing w:after="0" w:before="0" w:line="40" w:lineRule="exact"/>
                  </w:pPr>
                </w:p>
              </w:tc>
            </w:tr>
          </w:tbl>
          <w:p>
            <w:pPr>
              <w:spacing w:before="800"/>
            </w:pPr>
          </w:p>
          <w:p>
            <w:pPr>
              <w:spacing w:after="100" w:line="312"/>
              <w:ind w:left="1200"/>
            </w:pPr>
            <w:r>
              <w:rPr>
                <w:rFonts w:ascii="Arial" w:eastAsia="Microsoft YaHei"/>
                <w:color w:val="90989F"/>
                <w:sz w:val="28"/>
                <w:szCs w:val="28"/>
              </w:rPr>
              <w:t xml:space="preserve">Version 1.0 — October 22, 2026</w:t>
            </w:r>
          </w:p>
          <w:p>
            <w:pPr>
              <w:spacing w:after="100" w:line="312"/>
              <w:ind w:left="1200"/>
            </w:pPr>
            <w:r>
              <w:rPr>
                <w:rFonts w:ascii="Arial" w:eastAsia="Microsoft YaHei"/>
                <w:color w:val="90989F"/>
                <w:sz w:val="28"/>
                <w:szCs w:val="28"/>
              </w:rPr>
              <w:t xml:space="preserve">Project: metabolic-int-web · Vercel scope vignan-guild</w:t>
            </w:r>
          </w:p>
          <w:p>
            <w:pPr>
              <w:spacing w:after="100" w:line="312"/>
              <w:ind w:left="1200"/>
            </w:pPr>
            <w:r>
              <w:rPr>
                <w:rFonts w:ascii="Arial" w:eastAsia="Microsoft YaHei"/>
                <w:color w:val="90989F"/>
                <w:sz w:val="28"/>
                <w:szCs w:val="28"/>
              </w:rPr>
              <w:t xml:space="preserve">Status: Phase 3 delivered · Phase 4 approved for build</w:t>
            </w:r>
          </w:p>
          <w:p>
            <w:pPr>
              <w:spacing w:after="100" w:line="312"/>
              <w:ind w:left="1200"/>
            </w:pPr>
            <w:r>
              <w:rPr>
                <w:rFonts w:ascii="Arial" w:eastAsia="Microsoft YaHei"/>
                <w:color w:val="90989F"/>
                <w:sz w:val="28"/>
                <w:szCs w:val="28"/>
              </w:rPr>
              <w:t xml:space="preserve">Companion spec: MetabolicInt-Phase4-PRD.pdf</w:t>
            </w:r>
          </w:p>
          <w:p>
            <w:pPr>
              <w:spacing w:before="2000"/>
            </w:pPr>
          </w:p>
          <w:p>
            <w:pPr>
              <w:spacing w:line="312"/>
              <w:ind w:left="1200"/>
            </w:pPr>
            <w:r>
              <w:rPr>
                <w:rFonts w:ascii="Arial" w:eastAsia="Microsoft YaHei"/>
                <w:color w:val="909090"/>
                <w:sz w:val="22"/>
                <w:szCs w:val="22"/>
              </w:rPr>
              <w:t xml:space="preserve">MetabolicInt</w:t>
            </w:r>
            <w:r>
              <w:t xml:space="preserve">          </w:t>
            </w:r>
            <w:r>
              <w:rPr>
                <w:rFonts w:ascii="Arial" w:eastAsia="Microsoft YaHei"/>
                <w:color w:val="909090"/>
                <w:sz w:val="22"/>
                <w:szCs w:val="22"/>
              </w:rPr>
              <w:t xml:space="preserve">Vignan Guild · October 2026</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eastAsia="SimHei"/>
          <w:b/>
          <w:bCs/>
          <w:color w:val="1A2330"/>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Product and Environment Overview</w:t>
          </w:r>
          <w:r>
            <w:tab/>
          </w:r>
          <w:r>
            <w:t>1</w:t>
          </w:r>
        </w:p>
        <w:p>
          <w:pPr>
            <w:pStyle w:val="11"/>
            <w:ind w:left="360"/>
            <w:tabs>
              <w:tab w:val="right" w:leader="dot" w:pos="9026"/>
            </w:tabs>
            <w:spacing w:before="120" w:after="60"/>
          </w:pPr>
          <w:r>
            <w:t>2.1 What MetabolicInt Is</w:t>
          </w:r>
          <w:r>
            <w:tab/>
          </w:r>
          <w:r>
            <w:t>2</w:t>
          </w:r>
        </w:p>
        <w:p>
          <w:pPr>
            <w:pStyle w:val="11"/>
            <w:ind w:left="360"/>
            <w:tabs>
              <w:tab w:val="right" w:leader="dot" w:pos="9026"/>
            </w:tabs>
            <w:spacing w:before="120" w:after="60"/>
          </w:pPr>
          <w:r>
            <w:t>2.2 Environment and Access Map</w:t>
          </w:r>
          <w:r>
            <w:tab/>
          </w:r>
          <w:r>
            <w:t>2</w:t>
          </w:r>
        </w:p>
        <w:p>
          <w:pPr>
            <w:pStyle w:val="11"/>
            <w:ind w:left="360"/>
            <w:tabs>
              <w:tab w:val="right" w:leader="dot" w:pos="9026"/>
            </w:tabs>
            <w:spacing w:before="120" w:after="60"/>
          </w:pPr>
          <w:r>
            <w:t>2.3 Standing Operating Conventions</w:t>
          </w:r>
          <w:r>
            <w:tab/>
          </w:r>
          <w:r>
            <w:t>2</w:t>
          </w:r>
        </w:p>
        <w:p>
          <w:pPr>
            <w:pStyle w:val="9"/>
            <w:tabs>
              <w:tab w:val="right" w:leader="dot" w:pos="9026"/>
            </w:tabs>
            <w:spacing w:before="120" w:after="60"/>
          </w:pPr>
          <w:r>
            <w:t>3. Delivered Functionality (Phases 1-3)</w:t>
          </w:r>
          <w:r>
            <w:tab/>
          </w:r>
          <w:r>
            <w:t>4</w:t>
          </w:r>
        </w:p>
        <w:p>
          <w:pPr>
            <w:pStyle w:val="11"/>
            <w:ind w:left="360"/>
            <w:tabs>
              <w:tab w:val="right" w:leader="dot" w:pos="9026"/>
            </w:tabs>
            <w:spacing w:before="120" w:after="60"/>
          </w:pPr>
          <w:r>
            <w:t>3.1 Phase History</w:t>
          </w:r>
          <w:r>
            <w:tab/>
          </w:r>
          <w:r>
            <w:t>4</w:t>
          </w:r>
        </w:p>
        <w:p>
          <w:pPr>
            <w:pStyle w:val="11"/>
            <w:ind w:left="360"/>
            <w:tabs>
              <w:tab w:val="right" w:leader="dot" w:pos="9026"/>
            </w:tabs>
            <w:spacing w:before="120" w:after="60"/>
          </w:pPr>
          <w:r>
            <w:t>3.2 Capability Inventory</w:t>
          </w:r>
          <w:r>
            <w:tab/>
          </w:r>
          <w:r>
            <w:t>4</w:t>
          </w:r>
        </w:p>
        <w:p>
          <w:pPr>
            <w:pStyle w:val="11"/>
            <w:ind w:left="360"/>
            <w:tabs>
              <w:tab w:val="right" w:leader="dot" w:pos="9026"/>
            </w:tabs>
            <w:spacing w:before="120" w:after="60"/>
          </w:pPr>
          <w:r>
            <w:t>3.3 Production Verification Record (2026-10-22)</w:t>
          </w:r>
          <w:r>
            <w:tab/>
          </w:r>
          <w:r>
            <w:t>5</w:t>
          </w:r>
        </w:p>
        <w:p>
          <w:pPr>
            <w:pStyle w:val="11"/>
            <w:ind w:left="360"/>
            <w:tabs>
              <w:tab w:val="right" w:leader="dot" w:pos="9026"/>
            </w:tabs>
            <w:spacing w:before="120" w:after="60"/>
          </w:pPr>
          <w:r>
            <w:t>3.4 Phase-3 Deployment Steps (completed)</w:t>
          </w:r>
          <w:r>
            <w:tab/>
          </w:r>
          <w:r>
            <w:t>5</w:t>
          </w:r>
        </w:p>
        <w:p>
          <w:pPr>
            <w:pStyle w:val="9"/>
            <w:tabs>
              <w:tab w:val="right" w:leader="dot" w:pos="9026"/>
            </w:tabs>
            <w:spacing w:before="120" w:after="60"/>
          </w:pPr>
          <w:r>
            <w:t>4. Open Items and Known Issues</w:t>
          </w:r>
          <w:r>
            <w:tab/>
          </w:r>
          <w:r>
            <w:t>6</w:t>
          </w:r>
        </w:p>
        <w:p>
          <w:pPr>
            <w:pStyle w:val="11"/>
            <w:ind w:left="360"/>
            <w:tabs>
              <w:tab w:val="right" w:leader="dot" w:pos="9026"/>
            </w:tabs>
            <w:spacing w:before="120" w:after="60"/>
          </w:pPr>
          <w:r>
            <w:t>4.1 KI-1: Credential Re-Login Fails for Register-Created Accounts</w:t>
          </w:r>
          <w:r>
            <w:tab/>
          </w:r>
          <w:r>
            <w:t>6</w:t>
          </w:r>
        </w:p>
        <w:p>
          <w:pPr>
            <w:pStyle w:val="11"/>
            <w:ind w:left="360"/>
            <w:tabs>
              <w:tab w:val="right" w:leader="dot" w:pos="9026"/>
            </w:tabs>
            <w:spacing w:before="120" w:after="60"/>
          </w:pPr>
          <w:r>
            <w:t>4.2 P3-5 Remaining Verification Scope</w:t>
          </w:r>
          <w:r>
            <w:tab/>
          </w:r>
          <w:r>
            <w:t>7</w:t>
          </w:r>
        </w:p>
        <w:p>
          <w:pPr>
            <w:pStyle w:val="11"/>
            <w:ind w:left="360"/>
            <w:tabs>
              <w:tab w:val="right" w:leader="dot" w:pos="9026"/>
            </w:tabs>
            <w:spacing w:before="120" w:after="60"/>
          </w:pPr>
          <w:r>
            <w:t>4.3 P3-6 Phase-Gate Remnants</w:t>
          </w:r>
          <w:r>
            <w:tab/>
          </w:r>
          <w:r>
            <w:t>7</w:t>
          </w:r>
        </w:p>
        <w:p>
          <w:pPr>
            <w:pStyle w:val="11"/>
            <w:ind w:left="360"/>
            <w:tabs>
              <w:tab w:val="right" w:leader="dot" w:pos="9026"/>
            </w:tabs>
            <w:spacing w:before="120" w:after="60"/>
          </w:pPr>
          <w:r>
            <w:t>4.4 Demo Account Status</w:t>
          </w:r>
          <w:r>
            <w:tab/>
          </w:r>
          <w:r>
            <w:t>7</w:t>
          </w:r>
        </w:p>
        <w:p>
          <w:pPr>
            <w:pStyle w:val="9"/>
            <w:tabs>
              <w:tab w:val="right" w:leader="dot" w:pos="9026"/>
            </w:tabs>
            <w:spacing w:before="120" w:after="60"/>
          </w:pPr>
          <w:r>
            <w:t>5. Planned Scope (Phases 4-6)</w:t>
          </w:r>
          <w:r>
            <w:tab/>
          </w:r>
          <w:r>
            <w:t>8</w:t>
          </w:r>
        </w:p>
        <w:p>
          <w:pPr>
            <w:pStyle w:val="11"/>
            <w:ind w:left="360"/>
            <w:tabs>
              <w:tab w:val="right" w:leader="dot" w:pos="9026"/>
            </w:tabs>
            <w:spacing w:before="120" w:after="60"/>
          </w:pPr>
          <w:r>
            <w:t>5.1 Phase 4: Foundations (PRD approved, build-ready)</w:t>
          </w:r>
          <w:r>
            <w:tab/>
          </w:r>
          <w:r>
            <w:t>8</w:t>
          </w:r>
        </w:p>
        <w:p>
          <w:pPr>
            <w:pStyle w:val="11"/>
            <w:ind w:left="360"/>
            <w:tabs>
              <w:tab w:val="right" w:leader="dot" w:pos="9026"/>
            </w:tabs>
            <w:spacing w:before="120" w:after="60"/>
          </w:pPr>
          <w:r>
            <w:t>5.2 Phase 5: Intelligence</w:t>
          </w:r>
          <w:r>
            <w:tab/>
          </w:r>
          <w:r>
            <w:t>9</w:t>
          </w:r>
        </w:p>
        <w:p>
          <w:pPr>
            <w:pStyle w:val="11"/>
            <w:ind w:left="360"/>
            <w:tabs>
              <w:tab w:val="right" w:leader="dot" w:pos="9026"/>
            </w:tabs>
            <w:spacing w:before="120" w:after="60"/>
          </w:pPr>
          <w:r>
            <w:t>5.3 Phase 6: Family and Scale</w:t>
          </w:r>
          <w:r>
            <w:tab/>
          </w:r>
          <w:r>
            <w:t>9</w:t>
          </w:r>
        </w:p>
        <w:p>
          <w:pPr>
            <w:pStyle w:val="11"/>
            <w:ind w:left="360"/>
            <w:tabs>
              <w:tab w:val="right" w:leader="dot" w:pos="9026"/>
            </w:tabs>
            <w:spacing w:before="120" w:after="60"/>
          </w:pPr>
          <w:r>
            <w:t>5.4 Parked and Rejected Items</w:t>
          </w:r>
          <w:r>
            <w:tab/>
          </w:r>
          <w:r>
            <w:t>10</w:t>
          </w:r>
        </w:p>
        <w:p>
          <w:pPr>
            <w:pStyle w:val="9"/>
            <w:tabs>
              <w:tab w:val="right" w:leader="dot" w:pos="9026"/>
            </w:tabs>
            <w:spacing w:before="120" w:after="60"/>
          </w:pPr>
          <w:r>
            <w:t>6. Deployment and Roadmap Update Protocol</w:t>
          </w:r>
          <w:r>
            <w:tab/>
          </w:r>
          <w:r>
            <w:t>10</w:t>
          </w:r>
        </w:p>
        <w:p>
          <w:pPr>
            <w:pStyle w:val="11"/>
            <w:ind w:left="360"/>
            <w:tabs>
              <w:tab w:val="right" w:leader="dot" w:pos="9026"/>
            </w:tabs>
            <w:spacing w:before="120" w:after="60"/>
          </w:pPr>
          <w:r>
            <w:t>6.1 Per-Deployment Checklist</w:t>
          </w:r>
          <w:r>
            <w:tab/>
          </w:r>
          <w:r>
            <w:t>11</w:t>
          </w:r>
        </w:p>
        <w:p>
          <w:pPr>
            <w:pStyle w:val="11"/>
            <w:ind w:left="360"/>
            <w:tabs>
              <w:tab w:val="right" w:leader="dot" w:pos="9026"/>
            </w:tabs>
            <w:spacing w:before="120" w:after="60"/>
          </w:pPr>
          <w:r>
            <w:t>6.2 Probe Templates (PowerShell 5.1)</w:t>
          </w:r>
          <w:r>
            <w:tab/>
          </w:r>
          <w:r>
            <w:t>12</w:t>
          </w:r>
        </w:p>
        <w:p>
          <w:pPr>
            <w:pStyle w:val="11"/>
            <w:ind w:left="360"/>
            <w:tabs>
              <w:tab w:val="right" w:leader="dot" w:pos="9026"/>
            </w:tabs>
            <w:spacing w:before="120" w:after="60"/>
          </w:pPr>
          <w:r>
            <w:t>6.3 Versioning Rules</w:t>
          </w:r>
          <w:r>
            <w:tab/>
          </w:r>
          <w:r>
            <w:t>12</w:t>
          </w:r>
        </w:p>
        <w:p>
          <w:pPr>
            <w:pStyle w:val="9"/>
            <w:tabs>
              <w:tab w:val="right" w:leader="dot" w:pos="9026"/>
            </w:tabs>
            <w:spacing w:before="120" w:after="60"/>
          </w:pPr>
          <w:r>
            <w:t>7. Reference Index and Changelog</w:t>
          </w:r>
          <w:r>
            <w:tab/>
          </w:r>
          <w:r>
            <w:t>12</w:t>
          </w:r>
        </w:p>
        <w:p>
          <w:pPr>
            <w:pStyle w:val="11"/>
            <w:ind w:left="360"/>
            <w:tabs>
              <w:tab w:val="right" w:leader="dot" w:pos="9026"/>
            </w:tabs>
            <w:spacing w:before="120" w:after="60"/>
          </w:pPr>
          <w:r>
            <w:t>7.1 Key References</w:t>
          </w:r>
          <w:r>
            <w:tab/>
          </w:r>
          <w:r>
            <w:t>12</w:t>
          </w:r>
        </w:p>
        <w:p>
          <w:pPr>
            <w:pStyle w:val="11"/>
            <w:ind w:left="360"/>
            <w:tabs>
              <w:tab w:val="right" w:leader="dot" w:pos="9026"/>
            </w:tabs>
            <w:spacing w:before="120" w:after="60"/>
          </w:pPr>
          <w:r>
            <w:t>7.2 Changelog</w:t>
          </w:r>
          <w:r>
            <w:tab/>
          </w:r>
          <w:r>
            <w:t>13</w:t>
          </w:r>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pStyle w:val="Heading1"/>
        <w:keepNext/>
        <w:spacing w:after="160" w:before="360" w:line="312"/>
        <w:jc w:val="center"/>
      </w:pPr>
      <w:bookmarkStart w:name="_Toc1" w:id="1"/>
      <w:r>
        <w:rPr>
          <w:rFonts w:ascii="Times New Roman" w:eastAsia="SimHei"/>
          <w:b/>
          <w:bCs/>
          <w:color w:val="1A2330"/>
          <w:sz w:val="32"/>
          <w:szCs w:val="32"/>
        </w:rPr>
        <w:t xml:space="preserve">1. Executive Summary</w:t>
      </w:r>
      <w:bookmarkEnd w:id="1"/>
    </w:p>
    <w:p>
      <w:pPr>
        <w:keepNext w:val="false"/>
        <w:spacing w:after="120" w:before="0" w:line="312"/>
        <w:jc w:val="left"/>
      </w:pPr>
      <w:r>
        <w:rPr>
          <w:rFonts w:ascii="Times New Roman" w:eastAsia="SimSun"/>
          <w:color w:val="000000"/>
          <w:sz w:val="24"/>
          <w:szCs w:val="24"/>
        </w:rPr>
        <w:t xml:space="preserve">MetabolicInt is a private, auth-gated metabolic-health tracker covering glucose, labs, medications, meals and nutrition, activity, blood pressure, sleep, weight, coaching, predictive insights, family and doctor views, and reports with data export. The application is a Next.js App Router monorepo (apps/web) that uses NextAuth v4 credentials authentication and a Turso (libSQL) production database. Every feature sits behind the login; there is no public surface, and the login error message is deliberately generic to prevent account enumeration.</w:t>
      </w:r>
    </w:p>
    <w:p>
      <w:pPr>
        <w:keepNext w:val="false"/>
        <w:spacing w:after="120" w:before="0" w:line="312"/>
        <w:jc w:val="left"/>
      </w:pPr>
      <w:r>
        <w:rPr>
          <w:rFonts w:ascii="Times New Roman" w:eastAsia="SimSun"/>
          <w:color w:val="000000"/>
          <w:sz w:val="24"/>
          <w:szCs w:val="24"/>
        </w:rPr>
        <w:t xml:space="preserve">As of 22 October 2026, Phase 3 (production deployment) is delivered and verified. The pivot deployment to Vercel project metabolic-int-web was relinked, environment variables were migrated under an add-only rule, the production build was deployed from the repo root, probe verification passed, and a full authenticated smoke test succeeded as the original demo@metabolic.dev account. The Phase-4 scope (foundations: daily digest, meds and activity tracking, manual lab entry with Indian diagnostic presets, and AI coach activation) is fully specified in the approved Phase-4 PRD and is ready for a build session.</w:t>
      </w:r>
    </w:p>
    <w:p>
      <w:pPr>
        <w:keepNext w:val="false"/>
        <w:spacing w:after="200" w:before="0" w:line="312"/>
        <w:jc w:val="left"/>
      </w:pPr>
      <w:r>
        <w:rPr>
          <w:rFonts w:ascii="Times New Roman" w:eastAsia="SimSun"/>
          <w:color w:val="000000"/>
          <w:sz w:val="24"/>
          <w:szCs w:val="24"/>
        </w:rPr>
        <w:t xml:space="preserve">Two deployment-hygiene items remain open before Phase 4 starts: the register-created account re-login bug (KI-1, section 4.1) and the P3-6 phase-gate remnants (section 4.3). This roadmap is the single source of truth for what is delivered, what is broken, what is planned, and how the document itself is maintained across deployments.</w:t>
      </w:r>
    </w:p>
    <w:p>
      <w:pPr>
        <w:pStyle w:val="Heading1"/>
        <w:keepNext/>
        <w:spacing w:after="160" w:before="360" w:line="312"/>
        <w:jc w:val="center"/>
      </w:pPr>
      <w:bookmarkStart w:name="_Toc2" w:id="2"/>
      <w:r>
        <w:rPr>
          <w:rFonts w:ascii="Times New Roman" w:eastAsia="SimHei"/>
          <w:b/>
          <w:bCs/>
          <w:color w:val="1A2330"/>
          <w:sz w:val="32"/>
          <w:szCs w:val="32"/>
        </w:rPr>
        <w:t xml:space="preserve">2. Product and Environment Overview</w:t>
      </w:r>
      <w:bookmarkEnd w:id="2"/>
    </w:p>
    <w:p>
      <w:pPr>
        <w:pStyle w:val="Heading2"/>
        <w:keepNext/>
        <w:spacing w:after="120" w:before="240" w:line="312"/>
        <w:jc w:val="left"/>
      </w:pPr>
      <w:bookmarkStart w:name="_Toc3" w:id="3"/>
      <w:r>
        <w:rPr>
          <w:rFonts w:ascii="Times New Roman" w:eastAsia="SimHei"/>
          <w:b/>
          <w:bCs/>
          <w:color w:val="1A2330"/>
          <w:sz w:val="30"/>
          <w:szCs w:val="30"/>
        </w:rPr>
        <w:t xml:space="preserve">2.1 What MetabolicInt Is</w:t>
      </w:r>
      <w:bookmarkEnd w:id="3"/>
    </w:p>
    <w:p>
      <w:pPr>
        <w:keepNext w:val="false"/>
        <w:spacing w:after="120" w:before="0" w:line="312"/>
        <w:jc w:val="left"/>
      </w:pPr>
      <w:r>
        <w:rPr>
          <w:rFonts w:ascii="Times New Roman" w:eastAsia="SimSun"/>
          <w:color w:val="000000"/>
          <w:sz w:val="24"/>
          <w:szCs w:val="24"/>
        </w:rPr>
        <w:t xml:space="preserve">MetabolicInt tracks the full metabolic-health loop for a small private user group of six accounts. Users log meals against a food database (common foods, custom entries under my-foods, Indian foods, and food combinations), record glucose readings and lab panels, manage medications with a logging trail, and track activity, blood pressure, sleep, and weight. A coach page provides AI-assisted guidance, an insights and predict pair of pages turn logged data into trends, and family and doctor pages support a care circle. Reports and export round-trip data out of the system so nothing is locked in.</w:t>
      </w:r>
    </w:p>
    <w:p>
      <w:pPr>
        <w:keepNext w:val="false"/>
        <w:spacing w:after="120" w:before="0" w:line="312"/>
        <w:jc w:val="left"/>
      </w:pPr>
      <w:r>
        <w:rPr>
          <w:rFonts w:ascii="Times New Roman" w:eastAsia="SimSun"/>
          <w:color w:val="000000"/>
          <w:sz w:val="24"/>
          <w:szCs w:val="24"/>
        </w:rPr>
        <w:t xml:space="preserve">The application is intentionally private. Signup exists, but there is no marketing surface, and the application never reveals whether an email address is registered. The coach AI scaffold is present in the build but inert in production until the Phase-4 environment change activates it, which is a deliberate scope decision rather than a defect.</w:t>
      </w:r>
    </w:p>
    <w:p>
      <w:pPr>
        <w:pStyle w:val="Heading2"/>
        <w:keepNext/>
        <w:spacing w:after="120" w:before="240" w:line="312"/>
        <w:jc w:val="left"/>
      </w:pPr>
      <w:bookmarkStart w:name="_Toc4" w:id="4"/>
      <w:r>
        <w:rPr>
          <w:rFonts w:ascii="Times New Roman" w:eastAsia="SimHei"/>
          <w:b/>
          <w:bCs/>
          <w:color w:val="1A2330"/>
          <w:sz w:val="30"/>
          <w:szCs w:val="30"/>
        </w:rPr>
        <w:t xml:space="preserve">2.2 Environment and Access Map</w:t>
      </w:r>
      <w:bookmarkEnd w:id="4"/>
    </w:p>
    <w:p>
      <w:pPr>
        <w:keepNext/>
        <w:spacing w:after="120" w:before="0" w:line="312"/>
        <w:jc w:val="left"/>
      </w:pPr>
      <w:r>
        <w:rPr>
          <w:rFonts w:ascii="Times New Roman" w:eastAsia="SimSun"/>
          <w:color w:val="000000"/>
          <w:sz w:val="24"/>
          <w:szCs w:val="24"/>
        </w:rPr>
        <w:t xml:space="preserve">The table below is the authoritative environment reference. It records both production aliases, the currently-serving deployment, the proven deploy pipeline, the database split between production and local development, and the two ghost artifacts that must never be probed.</w:t>
      </w:r>
    </w:p>
    <w:p>
      <w:pPr>
        <w:keepNext/>
        <w:spacing w:after="80" w:before="200" w:line="312"/>
        <w:jc w:val="left"/>
      </w:pPr>
      <w:r>
        <w:rPr>
          <w:rFonts w:ascii="Times New Roman" w:eastAsia="SimSun"/>
          <w:i/>
          <w:iCs/>
          <w:color w:val="666666"/>
          <w:sz w:val="20"/>
          <w:szCs w:val="20"/>
        </w:rPr>
        <w:t xml:space="preserve">Table 1: Environment and access map (as of 2026-10-22)</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933"/>
        <w:gridCol w:w="3339"/>
        <w:gridCol w:w="3515"/>
      </w:tblGrid>
      <w:tr>
        <w:trPr>
          <w:cantSplit/>
          <w:tblHeader/>
        </w:trPr>
        <w:tc>
          <w:tcPr>
            <w:tcW w:type="pct" w:w="11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Item</w:t>
            </w:r>
          </w:p>
        </w:tc>
        <w:tc>
          <w:tcPr>
            <w:tcW w:type="pct" w:w="19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Value</w:t>
            </w:r>
          </w:p>
        </w:tc>
        <w:tc>
          <w:tcPr>
            <w:tcW w:type="pct" w:w="20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Notes</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Production URL (canonical)</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https://metabolic-int-web.vercel.app</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Holds the current production build</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Production alias (secondary)</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https://metabolic-int-web-vignan-guild.vercel.app</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Same deployment; both aliases verified 2026-10-22</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Vercel project</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metabolic-int-web</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Scope vignan-guild; Git-linked (push to main auto-deploys)</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Current production deployment</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dpl_7qXyuH2t3CagjYgHsmkDXgiDqieU (metabolic-int-n9yy6uwpx)</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Created 2026-10-22 12:50 IST; Ready; Production</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Proven deploy pipeline</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From repo root: vercel deploy --prod --yes</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Used for all Phase-3 fix deployments</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Production database</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Turso (libSQL)</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Connection values live in .env.turso, the single source of truth</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Local dev database</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file: URL (local libSQL file)</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Trap: accounts created locally do not exist in production</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Local repository</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C:\Users\nikan\metabolicint</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Monorepo; app at apps\web (Next.js App Router, src directory)</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API surface</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21 routes under apps\web\src\app\api\</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Full inventory in section 3.2</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Ghost project</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metabolicint (Vercel)</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No Git integration; all paths 404. Delete at P3-6. Never probe its URLs.</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Ghost domain</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metabolicint.vercel.app</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Squatted by an outside project. Never probe.</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Production env vars</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Vercel dashboard</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Add-only rule: never delete or rename keys; add or update values only</w:t>
            </w:r>
          </w:p>
        </w:tc>
      </w:tr>
      <w:tr>
        <w:trPr>
          <w:cantSplit/>
        </w:trPr>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OPENAI_API_KEY</w:t>
            </w:r>
          </w:p>
        </w:tc>
        <w:tc>
          <w:tcPr>
            <w:tcW w:type="pct" w:w="1900"/>
            <w:tcMar>
              <w:top w:type="dxa" w:w="60"/>
              <w:left w:type="dxa" w:w="120"/>
              <w:bottom w:type="dxa" w:w="60"/>
              <w:right w:type="dxa" w:w="120"/>
            </w:tcMar>
          </w:tcPr>
          <w:p>
            <w:pPr>
              <w:spacing w:line="312"/>
              <w:jc w:val="left"/>
            </w:pPr>
            <w:r>
              <w:rPr>
                <w:rFonts w:ascii="Times New Roman" w:eastAsia="SimSun"/>
                <w:color w:val="000000"/>
                <w:sz w:val="20"/>
                <w:szCs w:val="20"/>
              </w:rPr>
              <w:t xml:space="preserve">Absent from production env</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The /coach page is scaffolded but inert until Phase 4 adds the key (add-only)</w:t>
            </w:r>
          </w:p>
        </w:tc>
      </w:tr>
    </w:tbl>
    <w:p>
      <w:pPr>
        <w:pStyle w:val="Heading2"/>
        <w:keepNext/>
        <w:spacing w:after="120" w:before="240" w:line="312"/>
        <w:jc w:val="left"/>
      </w:pPr>
      <w:bookmarkStart w:name="_Toc5" w:id="5"/>
      <w:r>
        <w:rPr>
          <w:rFonts w:ascii="Times New Roman" w:eastAsia="SimHei"/>
          <w:b/>
          <w:bCs/>
          <w:color w:val="1A2330"/>
          <w:sz w:val="30"/>
          <w:szCs w:val="30"/>
        </w:rPr>
        <w:t xml:space="preserve">2.3 Standing Operating Conventions</w:t>
      </w:r>
      <w:bookmarkEnd w:id="5"/>
    </w:p>
    <w:p>
      <w:pPr>
        <w:keepNext/>
        <w:spacing w:after="80" w:before="0" w:line="312"/>
        <w:jc w:val="left"/>
      </w:pPr>
      <w:r>
        <w:rPr>
          <w:rFonts w:ascii="Times New Roman" w:eastAsia="SimSun"/>
          <w:color w:val="000000"/>
          <w:sz w:val="24"/>
          <w:szCs w:val="24"/>
        </w:rPr>
        <w:t xml:space="preserve">The following conventions apply to every work session, including any handoff to a new chat or a different login. They exist because the operator runs PowerShell 5.1 locally and pastes output back to the AI session, and because two known-broken Vercel artifacts must never be touched again.</w:t>
      </w:r>
    </w:p>
    <w:p>
      <w:pPr>
        <w:pStyle w:val="ListParagraph"/>
        <w:numPr>
          <w:ilvl w:val="0"/>
          <w:numId w:val="2"/>
        </w:numPr>
        <w:spacing w:after="60" w:line="312"/>
        <w:jc w:val="left"/>
      </w:pPr>
      <w:r>
        <w:rPr>
          <w:rFonts w:ascii="Times New Roman" w:eastAsia="SimSun"/>
          <w:b/>
          <w:bCs/>
          <w:color w:val="000000"/>
          <w:sz w:val="24"/>
          <w:szCs w:val="24"/>
        </w:rPr>
        <w:t xml:space="preserve">English only. </w:t>
      </w:r>
      <w:r>
        <w:rPr>
          <w:rFonts w:ascii="Times New Roman" w:eastAsia="SimSun"/>
          <w:b w:val="false"/>
          <w:bCs w:val="false"/>
          <w:color w:val="000000"/>
          <w:sz w:val="24"/>
          <w:szCs w:val="24"/>
        </w:rPr>
        <w:t xml:space="preserve">All communication, documents, and code comments are written in English.</w:t>
      </w:r>
    </w:p>
    <w:p>
      <w:pPr>
        <w:pStyle w:val="ListParagraph"/>
        <w:numPr>
          <w:ilvl w:val="0"/>
          <w:numId w:val="2"/>
        </w:numPr>
        <w:spacing w:after="60" w:line="312"/>
        <w:jc w:val="left"/>
      </w:pPr>
      <w:r>
        <w:rPr>
          <w:rFonts w:ascii="Times New Roman" w:eastAsia="SimSun"/>
          <w:b/>
          <w:bCs/>
          <w:color w:val="000000"/>
          <w:sz w:val="24"/>
          <w:szCs w:val="24"/>
        </w:rPr>
        <w:t xml:space="preserve">PowerShell 5.1 blocks. </w:t>
      </w:r>
      <w:r>
        <w:rPr>
          <w:rFonts w:ascii="Times New Roman" w:eastAsia="SimSun"/>
          <w:b w:val="false"/>
          <w:bCs w:val="false"/>
          <w:color w:val="000000"/>
          <w:sz w:val="24"/>
          <w:szCs w:val="24"/>
        </w:rPr>
        <w:t xml:space="preserve">The operator runs commands locally and pastes output back; every block must be copy-paste ready.</w:t>
      </w:r>
    </w:p>
    <w:p>
      <w:pPr>
        <w:pStyle w:val="ListParagraph"/>
        <w:numPr>
          <w:ilvl w:val="0"/>
          <w:numId w:val="2"/>
        </w:numPr>
        <w:spacing w:after="60" w:line="312"/>
        <w:jc w:val="left"/>
      </w:pPr>
      <w:r>
        <w:rPr>
          <w:rFonts w:ascii="Times New Roman" w:eastAsia="SimSun"/>
          <w:b/>
          <w:bCs/>
          <w:color w:val="000000"/>
          <w:sz w:val="24"/>
          <w:szCs w:val="24"/>
        </w:rPr>
        <w:t xml:space="preserve">TLS 1.2 probe prefix. </w:t>
      </w:r>
      <w:r>
        <w:rPr>
          <w:rFonts w:ascii="Times New Roman" w:eastAsia="SimSun"/>
          <w:b w:val="false"/>
          <w:bCs w:val="false"/>
          <w:color w:val="000000"/>
          <w:sz w:val="24"/>
          <w:szCs w:val="24"/>
        </w:rPr>
        <w:t xml:space="preserve">Every web probe starts with the Net.ServicePointManager SecurityProtocol Tls12 assignment.</w:t>
      </w:r>
    </w:p>
    <w:p>
      <w:pPr>
        <w:pStyle w:val="ListParagraph"/>
        <w:numPr>
          <w:ilvl w:val="0"/>
          <w:numId w:val="2"/>
        </w:numPr>
        <w:spacing w:after="60" w:line="312"/>
        <w:jc w:val="left"/>
      </w:pPr>
      <w:r>
        <w:rPr>
          <w:rFonts w:ascii="Times New Roman" w:eastAsia="SimSun"/>
          <w:b/>
          <w:bCs/>
          <w:color w:val="000000"/>
          <w:sz w:val="24"/>
          <w:szCs w:val="24"/>
        </w:rPr>
        <w:t xml:space="preserve">Never probe the ghost. </w:t>
      </w:r>
      <w:r>
        <w:rPr>
          <w:rFonts w:ascii="Times New Roman" w:eastAsia="SimSun"/>
          <w:b w:val="false"/>
          <w:bCs w:val="false"/>
          <w:color w:val="000000"/>
          <w:sz w:val="24"/>
          <w:szCs w:val="24"/>
        </w:rPr>
        <w:t xml:space="preserve">No requests to metabolicint.vercel.app or any URL of the stray metabolicint project.</w:t>
      </w:r>
    </w:p>
    <w:p>
      <w:pPr>
        <w:pStyle w:val="ListParagraph"/>
        <w:numPr>
          <w:ilvl w:val="0"/>
          <w:numId w:val="2"/>
        </w:numPr>
        <w:spacing w:after="60" w:line="312"/>
        <w:jc w:val="left"/>
      </w:pPr>
      <w:r>
        <w:rPr>
          <w:rFonts w:ascii="Times New Roman" w:eastAsia="SimSun"/>
          <w:b/>
          <w:bCs/>
          <w:color w:val="000000"/>
          <w:sz w:val="24"/>
          <w:szCs w:val="24"/>
        </w:rPr>
        <w:t xml:space="preserve">Add-only environment rule. </w:t>
      </w:r>
      <w:r>
        <w:rPr>
          <w:rFonts w:ascii="Times New Roman" w:eastAsia="SimSun"/>
          <w:b w:val="false"/>
          <w:bCs w:val="false"/>
          <w:color w:val="000000"/>
          <w:sz w:val="24"/>
          <w:szCs w:val="24"/>
        </w:rPr>
        <w:t xml:space="preserve">In the Vercel dashboard, add or update variables; never delete or rename.</w:t>
      </w:r>
    </w:p>
    <w:p>
      <w:pPr>
        <w:pStyle w:val="ListParagraph"/>
        <w:numPr>
          <w:ilvl w:val="0"/>
          <w:numId w:val="2"/>
        </w:numPr>
        <w:spacing w:after="60" w:line="312"/>
        <w:jc w:val="left"/>
      </w:pPr>
      <w:r>
        <w:rPr>
          <w:rFonts w:ascii="Times New Roman" w:eastAsia="SimSun"/>
          <w:b/>
          <w:bCs/>
          <w:color w:val="000000"/>
          <w:sz w:val="24"/>
          <w:szCs w:val="24"/>
        </w:rPr>
        <w:t xml:space="preserve">.env.turso is the source of truth </w:t>
      </w:r>
      <w:r>
        <w:rPr>
          <w:rFonts w:ascii="Times New Roman" w:eastAsia="SimSun"/>
          <w:b w:val="false"/>
          <w:bCs w:val="false"/>
          <w:color w:val="000000"/>
          <w:sz w:val="24"/>
          <w:szCs w:val="24"/>
        </w:rPr>
        <w:t xml:space="preserve">for production DATABASE_* values; local file: URLs are dev-only and never a basis for production conclusions.</w:t>
      </w:r>
    </w:p>
    <w:p>
      <w:pPr>
        <w:pStyle w:val="ListParagraph"/>
        <w:numPr>
          <w:ilvl w:val="0"/>
          <w:numId w:val="2"/>
        </w:numPr>
        <w:spacing w:after="60" w:line="312"/>
        <w:jc w:val="left"/>
      </w:pPr>
      <w:r>
        <w:rPr>
          <w:rFonts w:ascii="Times New Roman" w:eastAsia="SimSun"/>
          <w:b/>
          <w:bCs/>
          <w:color w:val="000000"/>
          <w:sz w:val="24"/>
          <w:szCs w:val="24"/>
        </w:rPr>
        <w:t xml:space="preserve">PS 5.1 bracket-path pitfall. </w:t>
      </w:r>
      <w:r>
        <w:rPr>
          <w:rFonts w:ascii="Times New Roman" w:eastAsia="SimSun"/>
          <w:b w:val="false"/>
          <w:bCs w:val="false"/>
          <w:color w:val="000000"/>
          <w:sz w:val="24"/>
          <w:szCs w:val="24"/>
        </w:rPr>
        <w:t xml:space="preserve">Reading paths such as auth[...nextauth]\route.ts requires Get-Content -LiteralPath because plain -Path treats brackets as wildcards.</w:t>
      </w:r>
    </w:p>
    <w:p>
      <w:pPr>
        <w:pStyle w:val="ListParagraph"/>
        <w:numPr>
          <w:ilvl w:val="0"/>
          <w:numId w:val="2"/>
        </w:numPr>
        <w:spacing w:after="60" w:line="312"/>
        <w:jc w:val="left"/>
      </w:pPr>
      <w:r>
        <w:rPr>
          <w:rFonts w:ascii="Times New Roman" w:eastAsia="SimSun"/>
          <w:b/>
          <w:bCs/>
          <w:color w:val="000000"/>
          <w:sz w:val="24"/>
          <w:szCs w:val="24"/>
        </w:rPr>
        <w:t xml:space="preserve">Worklog and roadmap discipline. </w:t>
      </w:r>
      <w:r>
        <w:rPr>
          <w:rFonts w:ascii="Times New Roman" w:eastAsia="SimSun"/>
          <w:b w:val="false"/>
          <w:bCs w:val="false"/>
          <w:color w:val="000000"/>
          <w:sz w:val="24"/>
          <w:szCs w:val="24"/>
        </w:rPr>
        <w:t xml:space="preserve">Every session appends a guarded entry to docs\phase3-worklog.md, and this roadmap receives a changelog row per deployment.</w:t>
      </w:r>
    </w:p>
    <w:p>
      <w:pPr>
        <w:pStyle w:val="ListParagraph"/>
        <w:numPr>
          <w:ilvl w:val="0"/>
          <w:numId w:val="2"/>
        </w:numPr>
        <w:spacing w:after="200" w:line="312"/>
        <w:jc w:val="left"/>
      </w:pPr>
      <w:r>
        <w:rPr>
          <w:rFonts w:ascii="Times New Roman" w:eastAsia="SimSun"/>
          <w:b/>
          <w:bCs/>
          <w:color w:val="000000"/>
          <w:sz w:val="24"/>
          <w:szCs w:val="24"/>
        </w:rPr>
        <w:t xml:space="preserve">Generic login errors stay. </w:t>
      </w:r>
      <w:r>
        <w:rPr>
          <w:rFonts w:ascii="Times New Roman" w:eastAsia="SimSun"/>
          <w:b w:val="false"/>
          <w:bCs w:val="false"/>
          <w:color w:val="000000"/>
          <w:sz w:val="24"/>
          <w:szCs w:val="24"/>
        </w:rPr>
        <w:t xml:space="preserve">Incorrect email or password is intentional anti-enumeration behavior; do not change it.</w:t>
      </w:r>
    </w:p>
    <w:p>
      <w:pPr>
        <w:pStyle w:val="Heading1"/>
        <w:keepNext/>
        <w:spacing w:after="160" w:before="360" w:line="312"/>
        <w:jc w:val="center"/>
      </w:pPr>
      <w:bookmarkStart w:name="_Toc6" w:id="6"/>
      <w:r>
        <w:rPr>
          <w:rFonts w:ascii="Times New Roman" w:eastAsia="SimHei"/>
          <w:b/>
          <w:bCs/>
          <w:color w:val="1A2330"/>
          <w:sz w:val="32"/>
          <w:szCs w:val="32"/>
        </w:rPr>
        <w:t xml:space="preserve">3. Delivered Functionality (Phases 1-3)</w:t>
      </w:r>
      <w:bookmarkEnd w:id="6"/>
    </w:p>
    <w:p>
      <w:pPr>
        <w:pStyle w:val="Heading2"/>
        <w:keepNext/>
        <w:spacing w:after="120" w:before="240" w:line="312"/>
        <w:jc w:val="left"/>
      </w:pPr>
      <w:bookmarkStart w:name="_Toc7" w:id="7"/>
      <w:r>
        <w:rPr>
          <w:rFonts w:ascii="Times New Roman" w:eastAsia="SimHei"/>
          <w:b/>
          <w:bCs/>
          <w:color w:val="1A2330"/>
          <w:sz w:val="30"/>
          <w:szCs w:val="30"/>
        </w:rPr>
        <w:t xml:space="preserve">3.1 Phase History</w:t>
      </w:r>
      <w:bookmarkEnd w:id="7"/>
    </w:p>
    <w:p>
      <w:pPr>
        <w:keepNext/>
        <w:spacing w:after="120" w:before="0" w:line="312"/>
        <w:jc w:val="left"/>
      </w:pPr>
      <w:r>
        <w:rPr>
          <w:rFonts w:ascii="Times New Roman" w:eastAsia="SimSun"/>
          <w:color w:val="000000"/>
          <w:sz w:val="24"/>
          <w:szCs w:val="24"/>
        </w:rPr>
        <w:t xml:space="preserve">MetabolicInt was built in two application phases and deployed to production in a third. The table records the scope of each phase and its status. Phase 3 is functionally complete, but its phase gate still carries two remnants that are tracked as open items in section 4.3.</w:t>
      </w:r>
    </w:p>
    <w:p>
      <w:pPr>
        <w:keepNext/>
        <w:spacing w:after="80" w:before="200" w:line="312"/>
        <w:jc w:val="left"/>
      </w:pPr>
      <w:r>
        <w:rPr>
          <w:rFonts w:ascii="Times New Roman" w:eastAsia="SimSun"/>
          <w:i/>
          <w:iCs/>
          <w:color w:val="666666"/>
          <w:sz w:val="20"/>
          <w:szCs w:val="20"/>
        </w:rPr>
        <w:t xml:space="preserve">Table 2: Phase history</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230"/>
        <w:gridCol w:w="5273"/>
        <w:gridCol w:w="2285"/>
      </w:tblGrid>
      <w:tr>
        <w:trPr>
          <w:cantSplit/>
          <w:tblHeader/>
        </w:trPr>
        <w:tc>
          <w:tcPr>
            <w:tcW w:type="pct" w:w="7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Phase</w:t>
            </w:r>
          </w:p>
        </w:tc>
        <w:tc>
          <w:tcPr>
            <w:tcW w:type="pct" w:w="30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Scope</w:t>
            </w:r>
          </w:p>
        </w:tc>
        <w:tc>
          <w:tcPr>
            <w:tcW w:type="pct" w:w="13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Status</w:t>
            </w:r>
          </w:p>
        </w:tc>
      </w:tr>
      <w:tr>
        <w:trPr>
          <w:cantSplit/>
        </w:trPr>
        <w:tc>
          <w:tcPr>
            <w:tcW w:type="pct" w:w="700"/>
            <w:tcMar>
              <w:top w:type="dxa" w:w="60"/>
              <w:left w:type="dxa" w:w="120"/>
              <w:bottom w:type="dxa" w:w="60"/>
              <w:right w:type="dxa" w:w="120"/>
            </w:tcMar>
          </w:tcPr>
          <w:p>
            <w:pPr>
              <w:spacing w:line="312"/>
              <w:jc w:val="left"/>
            </w:pPr>
            <w:r>
              <w:rPr>
                <w:rFonts w:ascii="Times New Roman" w:eastAsia="SimSun"/>
                <w:color w:val="000000"/>
                <w:sz w:val="20"/>
                <w:szCs w:val="20"/>
              </w:rPr>
              <w:t xml:space="preserve">Phase 1</w:t>
            </w:r>
          </w:p>
        </w:tc>
        <w:tc>
          <w:tcPr>
            <w:tcW w:type="pct" w:w="3000"/>
            <w:tcMar>
              <w:top w:type="dxa" w:w="60"/>
              <w:left w:type="dxa" w:w="120"/>
              <w:bottom w:type="dxa" w:w="60"/>
              <w:right w:type="dxa" w:w="120"/>
            </w:tcMar>
          </w:tcPr>
          <w:p>
            <w:pPr>
              <w:spacing w:line="312"/>
              <w:jc w:val="left"/>
            </w:pPr>
            <w:r>
              <w:rPr>
                <w:rFonts w:ascii="Times New Roman" w:eastAsia="SimSun"/>
                <w:color w:val="000000"/>
                <w:sz w:val="20"/>
                <w:szCs w:val="20"/>
              </w:rPr>
              <w:t xml:space="preserve">Core build: auth (signup and credentials login), onboarding, dashboard, meal logging with the food database (common, my-foods, Indian, combos), glucose, labs, meds and med log, activity, BP, sleep, weight, day tags, profile, settings</w:t>
            </w:r>
          </w:p>
        </w:tc>
        <w:tc>
          <w:tcPr>
            <w:tcW w:type="pct" w:w="1300"/>
            <w:tcMar>
              <w:top w:type="dxa" w:w="60"/>
              <w:left w:type="dxa" w:w="120"/>
              <w:bottom w:type="dxa" w:w="60"/>
              <w:right w:type="dxa" w:w="120"/>
            </w:tcMar>
          </w:tcPr>
          <w:p>
            <w:pPr>
              <w:spacing w:line="312"/>
              <w:jc w:val="left"/>
            </w:pPr>
            <w:r>
              <w:rPr>
                <w:rFonts w:ascii="Times New Roman" w:eastAsia="SimSun"/>
                <w:color w:val="000000"/>
                <w:sz w:val="20"/>
                <w:szCs w:val="20"/>
              </w:rPr>
              <w:t xml:space="preserve">Delivered</w:t>
            </w:r>
          </w:p>
        </w:tc>
      </w:tr>
      <w:tr>
        <w:trPr>
          <w:cantSplit/>
        </w:trPr>
        <w:tc>
          <w:tcPr>
            <w:tcW w:type="pct" w:w="700"/>
            <w:tcMar>
              <w:top w:type="dxa" w:w="60"/>
              <w:left w:type="dxa" w:w="120"/>
              <w:bottom w:type="dxa" w:w="60"/>
              <w:right w:type="dxa" w:w="120"/>
            </w:tcMar>
          </w:tcPr>
          <w:p>
            <w:pPr>
              <w:spacing w:line="312"/>
              <w:jc w:val="left"/>
            </w:pPr>
            <w:r>
              <w:rPr>
                <w:rFonts w:ascii="Times New Roman" w:eastAsia="SimSun"/>
                <w:color w:val="000000"/>
                <w:sz w:val="20"/>
                <w:szCs w:val="20"/>
              </w:rPr>
              <w:t xml:space="preserve">Phase 2</w:t>
            </w:r>
          </w:p>
        </w:tc>
        <w:tc>
          <w:tcPr>
            <w:tcW w:type="pct" w:w="3000"/>
            <w:tcMar>
              <w:top w:type="dxa" w:w="60"/>
              <w:left w:type="dxa" w:w="120"/>
              <w:bottom w:type="dxa" w:w="60"/>
              <w:right w:type="dxa" w:w="120"/>
            </w:tcMar>
          </w:tcPr>
          <w:p>
            <w:pPr>
              <w:spacing w:line="312"/>
              <w:jc w:val="left"/>
            </w:pPr>
            <w:r>
              <w:rPr>
                <w:rFonts w:ascii="Times New Roman" w:eastAsia="SimSun"/>
                <w:color w:val="000000"/>
                <w:sz w:val="20"/>
                <w:szCs w:val="20"/>
              </w:rPr>
              <w:t xml:space="preserve">Intelligence and care: coach page (AI scaffold), insights and predict pages, family, doctor, reports, export, admin</w:t>
            </w:r>
          </w:p>
        </w:tc>
        <w:tc>
          <w:tcPr>
            <w:tcW w:type="pct" w:w="1300"/>
            <w:tcMar>
              <w:top w:type="dxa" w:w="60"/>
              <w:left w:type="dxa" w:w="120"/>
              <w:bottom w:type="dxa" w:w="60"/>
              <w:right w:type="dxa" w:w="120"/>
            </w:tcMar>
          </w:tcPr>
          <w:p>
            <w:pPr>
              <w:spacing w:line="312"/>
              <w:jc w:val="left"/>
            </w:pPr>
            <w:r>
              <w:rPr>
                <w:rFonts w:ascii="Times New Roman" w:eastAsia="SimSun"/>
                <w:color w:val="000000"/>
                <w:sz w:val="20"/>
                <w:szCs w:val="20"/>
              </w:rPr>
              <w:t xml:space="preserve">Delivered</w:t>
            </w:r>
          </w:p>
        </w:tc>
      </w:tr>
      <w:tr>
        <w:trPr>
          <w:cantSplit/>
        </w:trPr>
        <w:tc>
          <w:tcPr>
            <w:tcW w:type="pct" w:w="700"/>
            <w:tcMar>
              <w:top w:type="dxa" w:w="60"/>
              <w:left w:type="dxa" w:w="120"/>
              <w:bottom w:type="dxa" w:w="60"/>
              <w:right w:type="dxa" w:w="120"/>
            </w:tcMar>
          </w:tcPr>
          <w:p>
            <w:pPr>
              <w:spacing w:line="312"/>
              <w:jc w:val="left"/>
            </w:pPr>
            <w:r>
              <w:rPr>
                <w:rFonts w:ascii="Times New Roman" w:eastAsia="SimSun"/>
                <w:color w:val="000000"/>
                <w:sz w:val="20"/>
                <w:szCs w:val="20"/>
              </w:rPr>
              <w:t xml:space="preserve">Phase 3</w:t>
            </w:r>
          </w:p>
        </w:tc>
        <w:tc>
          <w:tcPr>
            <w:tcW w:type="pct" w:w="3000"/>
            <w:tcMar>
              <w:top w:type="dxa" w:w="60"/>
              <w:left w:type="dxa" w:w="120"/>
              <w:bottom w:type="dxa" w:w="60"/>
              <w:right w:type="dxa" w:w="120"/>
            </w:tcMar>
          </w:tcPr>
          <w:p>
            <w:pPr>
              <w:spacing w:line="312"/>
              <w:jc w:val="left"/>
            </w:pPr>
            <w:r>
              <w:rPr>
                <w:rFonts w:ascii="Times New Roman" w:eastAsia="SimSun"/>
                <w:color w:val="000000"/>
                <w:sz w:val="20"/>
                <w:szCs w:val="20"/>
              </w:rPr>
              <w:t xml:space="preserve">Production deployment: pivot to Vercel project metabolic-int-web, relink, env add-only migration, root CLI prod deploy, probe verification, smoke test; Phase-4 PRD authored and approved</w:t>
            </w:r>
          </w:p>
        </w:tc>
        <w:tc>
          <w:tcPr>
            <w:tcW w:type="pct" w:w="1300"/>
            <w:tcMar>
              <w:top w:type="dxa" w:w="60"/>
              <w:left w:type="dxa" w:w="120"/>
              <w:bottom w:type="dxa" w:w="60"/>
              <w:right w:type="dxa" w:w="120"/>
            </w:tcMar>
          </w:tcPr>
          <w:p>
            <w:pPr>
              <w:spacing w:line="312"/>
              <w:jc w:val="left"/>
            </w:pPr>
            <w:r>
              <w:rPr>
                <w:rFonts w:ascii="Times New Roman" w:eastAsia="SimSun"/>
                <w:color w:val="000000"/>
                <w:sz w:val="20"/>
                <w:szCs w:val="20"/>
              </w:rPr>
              <w:t xml:space="preserve">Delivered; gate remnants open (section 4.3)</w:t>
            </w:r>
          </w:p>
        </w:tc>
      </w:tr>
    </w:tbl>
    <w:p>
      <w:pPr>
        <w:pStyle w:val="Heading2"/>
        <w:keepNext/>
        <w:spacing w:after="120" w:before="240" w:line="312"/>
        <w:jc w:val="left"/>
      </w:pPr>
      <w:bookmarkStart w:name="_Toc8" w:id="8"/>
      <w:r>
        <w:rPr>
          <w:rFonts w:ascii="Times New Roman" w:eastAsia="SimHei"/>
          <w:b/>
          <w:bCs/>
          <w:color w:val="1A2330"/>
          <w:sz w:val="30"/>
          <w:szCs w:val="30"/>
        </w:rPr>
        <w:t xml:space="preserve">3.2 Capability Inventory</w:t>
      </w:r>
      <w:bookmarkEnd w:id="8"/>
    </w:p>
    <w:p>
      <w:pPr>
        <w:keepNext/>
        <w:spacing w:after="120" w:before="0" w:line="312"/>
        <w:jc w:val="left"/>
      </w:pPr>
      <w:r>
        <w:rPr>
          <w:rFonts w:ascii="Times New Roman" w:eastAsia="SimSun"/>
          <w:color w:val="000000"/>
          <w:sz w:val="24"/>
          <w:szCs w:val="24"/>
        </w:rPr>
        <w:t xml:space="preserve">The inventory below maps each capability domain to its user-facing pages and API routes, together with its verification status from the 2026-10-22 production smoke test. Twenty-one API routes exist under apps\web\src\app\api\; there is no duplicate legacy API directory, which was confirmed by recursive search during the P3-5 triage.</w:t>
      </w:r>
    </w:p>
    <w:p>
      <w:pPr>
        <w:keepNext/>
        <w:spacing w:after="80" w:before="200" w:line="312"/>
        <w:jc w:val="left"/>
      </w:pPr>
      <w:r>
        <w:rPr>
          <w:rFonts w:ascii="Times New Roman" w:eastAsia="SimSun"/>
          <w:i/>
          <w:iCs/>
          <w:color w:val="666666"/>
          <w:sz w:val="20"/>
          <w:szCs w:val="20"/>
        </w:rPr>
        <w:t xml:space="preserve">Table 3: Capability inventory, production-verified 2026-10-22</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582"/>
        <w:gridCol w:w="2636"/>
        <w:gridCol w:w="2636"/>
        <w:gridCol w:w="1933"/>
      </w:tblGrid>
      <w:tr>
        <w:trPr>
          <w:cantSplit/>
          <w:tblHeader/>
        </w:trPr>
        <w:tc>
          <w:tcPr>
            <w:tcW w:type="pct" w:w="9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Domain</w:t>
            </w:r>
          </w:p>
        </w:tc>
        <w:tc>
          <w:tcPr>
            <w:tcW w:type="pct" w:w="15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Pages</w:t>
            </w:r>
          </w:p>
        </w:tc>
        <w:tc>
          <w:tcPr>
            <w:tcW w:type="pct" w:w="15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API routes</w:t>
            </w:r>
          </w:p>
        </w:tc>
        <w:tc>
          <w:tcPr>
            <w:tcW w:type="pct" w:w="11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Status</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Auth and accounts</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login, signup</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auth/[...nextauth], signup</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Login works for pre-existing accounts; register-to-re-login broken (KI-1)</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Onboarding and profile</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onboarding, profile</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onboarding, me/profile</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Verified 200</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Dashboard and daily log</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dashboard, log, day tags</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meals, day-tags</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Verified 200/304; /api/meals and /api/combos returned 200</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Food and nutrition</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my-foods, indian, combos</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foods, foods/custom, combos</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Verified 200/304</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Biometrics</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glucose, labs, meds, predict</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glucose, labs, meds, meds/log</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Verified 200/304</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Lifestyle</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entry points via dashboard and settings</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activity, bp, sleep, weight</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Routes present; pages exercised via dashboard</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Coach and insights</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coach, insights</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coach</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Page verified; AI inert (no OPENAI_API_KEY until Phase 4)</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Care circle</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family, doctor</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none dedicated</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Verified 200/304</w:t>
            </w:r>
          </w:p>
        </w:tc>
      </w:tr>
      <w:tr>
        <w:trPr>
          <w:cantSplit/>
        </w:trPr>
        <w:tc>
          <w:tcPr>
            <w:tcW w:type="pct" w:w="900"/>
            <w:tcMar>
              <w:top w:type="dxa" w:w="60"/>
              <w:left w:type="dxa" w:w="120"/>
              <w:bottom w:type="dxa" w:w="60"/>
              <w:right w:type="dxa" w:w="120"/>
            </w:tcMar>
          </w:tcPr>
          <w:p>
            <w:pPr>
              <w:spacing w:line="312"/>
              <w:jc w:val="left"/>
            </w:pPr>
            <w:r>
              <w:rPr>
                <w:rFonts w:ascii="Times New Roman" w:eastAsia="SimSun"/>
                <w:color w:val="000000"/>
                <w:sz w:val="20"/>
                <w:szCs w:val="20"/>
              </w:rPr>
              <w:t xml:space="preserve">Reports and export</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reports, admin</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reports, export</w:t>
            </w:r>
          </w:p>
        </w:tc>
        <w:tc>
          <w:tcPr>
            <w:tcW w:type="pct" w:w="1100"/>
            <w:tcMar>
              <w:top w:type="dxa" w:w="60"/>
              <w:left w:type="dxa" w:w="120"/>
              <w:bottom w:type="dxa" w:w="60"/>
              <w:right w:type="dxa" w:w="120"/>
            </w:tcMar>
          </w:tcPr>
          <w:p>
            <w:pPr>
              <w:spacing w:line="312"/>
              <w:jc w:val="left"/>
            </w:pPr>
            <w:r>
              <w:rPr>
                <w:rFonts w:ascii="Times New Roman" w:eastAsia="SimSun"/>
                <w:color w:val="000000"/>
                <w:sz w:val="20"/>
                <w:szCs w:val="20"/>
              </w:rPr>
              <w:t xml:space="preserve">Pages verified 200/304; end-to-end export check pending (section 4.2)</w:t>
            </w:r>
          </w:p>
        </w:tc>
      </w:tr>
    </w:tbl>
    <w:p>
      <w:pPr>
        <w:pStyle w:val="Heading2"/>
        <w:keepNext/>
        <w:spacing w:after="120" w:before="240" w:line="312"/>
        <w:jc w:val="left"/>
      </w:pPr>
      <w:bookmarkStart w:name="_Toc9" w:id="9"/>
      <w:r>
        <w:rPr>
          <w:rFonts w:ascii="Times New Roman" w:eastAsia="SimHei"/>
          <w:b/>
          <w:bCs/>
          <w:color w:val="1A2330"/>
          <w:sz w:val="30"/>
          <w:szCs w:val="30"/>
        </w:rPr>
        <w:t xml:space="preserve">3.3 Production Verification Record (2026-10-22)</w:t>
      </w:r>
      <w:bookmarkEnd w:id="9"/>
    </w:p>
    <w:p>
      <w:pPr>
        <w:keepNext w:val="false"/>
        <w:spacing w:after="120" w:before="0" w:line="312"/>
        <w:jc w:val="left"/>
      </w:pPr>
      <w:r>
        <w:rPr>
          <w:rFonts w:ascii="Times New Roman" w:eastAsia="SimSun"/>
          <w:color w:val="000000"/>
          <w:sz w:val="24"/>
          <w:szCs w:val="24"/>
        </w:rPr>
        <w:t xml:space="preserve">The control test passed: POST /api/auth/callback/credentials returned 200 for demo@metabolic.dev at 13:38:52 and 13:38:59 IST, confirming that the production database and the auth chain are healthy and that the same Turso database backs the old and new deployments. A fourteen-page authenticated tour followed (dashboard, my-foods, coach, insights, log, indian, glucose, labs, meds, predict, family, doctor, reports, settings, admin), all returning 200 or 304, and ended with a clean signout at 13:39:13. The API probe pair /api/meals and /api/combos returned 200.</w:t>
      </w:r>
    </w:p>
    <w:p>
      <w:pPr>
        <w:keepNext w:val="false"/>
        <w:spacing w:after="120" w:before="0" w:line="312"/>
        <w:jc w:val="left"/>
      </w:pPr>
      <w:r>
        <w:rPr>
          <w:rFonts w:ascii="Times New Roman" w:eastAsia="SimSun"/>
          <w:color w:val="000000"/>
          <w:sz w:val="24"/>
          <w:szCs w:val="24"/>
        </w:rPr>
        <w:t xml:space="preserve">A vercel inspect of the serving deployment confirmed that dpl_7qXyuH2t3CagjYgHsmkDXgiDqieU holds both production aliases, which closed the earlier question about visible change: the user interface genuinely did not change between the Git deployment cluster and the pivot build, so browser caching was irrelevant and no functionality was lost.</w:t>
      </w:r>
    </w:p>
    <w:p>
      <w:pPr>
        <w:pStyle w:val="Heading2"/>
        <w:keepNext/>
        <w:spacing w:after="120" w:before="240" w:line="312"/>
        <w:jc w:val="left"/>
      </w:pPr>
      <w:bookmarkStart w:name="_Toc10" w:id="10"/>
      <w:r>
        <w:rPr>
          <w:rFonts w:ascii="Times New Roman" w:eastAsia="SimHei"/>
          <w:b/>
          <w:bCs/>
          <w:color w:val="1A2330"/>
          <w:sz w:val="30"/>
          <w:szCs w:val="30"/>
        </w:rPr>
        <w:t xml:space="preserve">3.4 Phase-3 Deployment Steps (completed)</w:t>
      </w:r>
      <w:bookmarkEnd w:id="10"/>
    </w:p>
    <w:p>
      <w:pPr>
        <w:keepNext/>
        <w:spacing w:after="80" w:before="0" w:line="312"/>
        <w:jc w:val="left"/>
      </w:pPr>
      <w:r>
        <w:rPr>
          <w:rFonts w:ascii="Times New Roman" w:eastAsia="SimSun"/>
          <w:color w:val="000000"/>
          <w:sz w:val="24"/>
          <w:szCs w:val="24"/>
        </w:rPr>
        <w:t xml:space="preserve">The following steps were executed to bring production live and verified. They are recorded here because they define the pipeline that every future deployment reuses.</w:t>
      </w:r>
    </w:p>
    <w:p>
      <w:pPr>
        <w:pStyle w:val="ListParagraph"/>
        <w:numPr>
          <w:ilvl w:val="0"/>
          <w:numId w:val="3"/>
        </w:numPr>
        <w:spacing w:after="60" w:line="312"/>
        <w:jc w:val="left"/>
      </w:pPr>
      <w:r>
        <w:rPr>
          <w:rFonts w:ascii="Times New Roman" w:eastAsia="SimSun"/>
          <w:color w:val="000000"/>
          <w:sz w:val="24"/>
          <w:szCs w:val="24"/>
        </w:rPr>
        <w:t xml:space="preserve">Relink apps\web to the Vercel project metabolic-int-web (vercel link), verified through .vercel\project.json.</w:t>
      </w:r>
    </w:p>
    <w:p>
      <w:pPr>
        <w:pStyle w:val="ListParagraph"/>
        <w:numPr>
          <w:ilvl w:val="0"/>
          <w:numId w:val="3"/>
        </w:numPr>
        <w:spacing w:after="60" w:line="312"/>
        <w:jc w:val="left"/>
      </w:pPr>
      <w:r>
        <w:rPr>
          <w:rFonts w:ascii="Times New Roman" w:eastAsia="SimSun"/>
          <w:color w:val="000000"/>
          <w:sz w:val="24"/>
          <w:szCs w:val="24"/>
        </w:rPr>
        <w:t xml:space="preserve">Environment migration under the add-only rule, taking production DATABASE_* values from .env.turso.</w:t>
      </w:r>
    </w:p>
    <w:p>
      <w:pPr>
        <w:pStyle w:val="ListParagraph"/>
        <w:numPr>
          <w:ilvl w:val="0"/>
          <w:numId w:val="3"/>
        </w:numPr>
        <w:spacing w:after="60" w:line="312"/>
        <w:jc w:val="left"/>
      </w:pPr>
      <w:r>
        <w:rPr>
          <w:rFonts w:ascii="Times New Roman" w:eastAsia="SimSun"/>
          <w:color w:val="000000"/>
          <w:sz w:val="24"/>
          <w:szCs w:val="24"/>
        </w:rPr>
        <w:t xml:space="preserve">Production deploy from the repo root: vercel deploy --prod --yes.</w:t>
      </w:r>
    </w:p>
    <w:p>
      <w:pPr>
        <w:pStyle w:val="ListParagraph"/>
        <w:numPr>
          <w:ilvl w:val="0"/>
          <w:numId w:val="3"/>
        </w:numPr>
        <w:spacing w:after="60" w:line="312"/>
        <w:jc w:val="left"/>
      </w:pPr>
      <w:r>
        <w:rPr>
          <w:rFonts w:ascii="Times New Roman" w:eastAsia="SimSun"/>
          <w:color w:val="000000"/>
          <w:sz w:val="24"/>
          <w:szCs w:val="24"/>
        </w:rPr>
        <w:t xml:space="preserve">Raw probe verification of the production URL with the TLS 1.2 prefix.</w:t>
      </w:r>
    </w:p>
    <w:p>
      <w:pPr>
        <w:pStyle w:val="ListParagraph"/>
        <w:numPr>
          <w:ilvl w:val="0"/>
          <w:numId w:val="3"/>
        </w:numPr>
        <w:spacing w:after="60" w:line="312"/>
        <w:jc w:val="left"/>
      </w:pPr>
      <w:r>
        <w:rPr>
          <w:rFonts w:ascii="Times New Roman" w:eastAsia="SimSun"/>
          <w:color w:val="000000"/>
          <w:sz w:val="24"/>
          <w:szCs w:val="24"/>
        </w:rPr>
        <w:t xml:space="preserve">Smoke test P3-5, partially complete; the remainder is defined in section 4.2.</w:t>
      </w:r>
    </w:p>
    <w:p>
      <w:pPr>
        <w:pStyle w:val="ListParagraph"/>
        <w:numPr>
          <w:ilvl w:val="0"/>
          <w:numId w:val="3"/>
        </w:numPr>
        <w:spacing w:after="200" w:line="312"/>
        <w:jc w:val="left"/>
      </w:pPr>
      <w:r>
        <w:rPr>
          <w:rFonts w:ascii="Times New Roman" w:eastAsia="SimSun"/>
          <w:color w:val="000000"/>
          <w:sz w:val="24"/>
          <w:szCs w:val="24"/>
        </w:rPr>
        <w:t xml:space="preserve">Phase-4 PRD authored and approved (MetabolicInt-Phase4-PRD.pdf: 22 pages, 12 chapters plus appendices, per-feature functional requirements and Given/When/Then acceptance criteria, and Smoke Test v2 including the register-logout-re-login regression that closes the KI-1 blind spot).</w:t>
      </w:r>
    </w:p>
    <w:p>
      <w:pPr>
        <w:pStyle w:val="Heading1"/>
        <w:keepNext/>
        <w:spacing w:after="160" w:before="360" w:line="312"/>
        <w:jc w:val="center"/>
      </w:pPr>
      <w:bookmarkStart w:name="_Toc11" w:id="11"/>
      <w:r>
        <w:rPr>
          <w:rFonts w:ascii="Times New Roman" w:eastAsia="SimHei"/>
          <w:b/>
          <w:bCs/>
          <w:color w:val="1A2330"/>
          <w:sz w:val="32"/>
          <w:szCs w:val="32"/>
        </w:rPr>
        <w:t xml:space="preserve">4. Open Items and Known Issues</w:t>
      </w:r>
      <w:bookmarkEnd w:id="11"/>
    </w:p>
    <w:p>
      <w:pPr>
        <w:pStyle w:val="Heading2"/>
        <w:keepNext/>
        <w:spacing w:after="120" w:before="240" w:line="312"/>
        <w:jc w:val="left"/>
      </w:pPr>
      <w:bookmarkStart w:name="_Toc12" w:id="12"/>
      <w:r>
        <w:rPr>
          <w:rFonts w:ascii="Times New Roman" w:eastAsia="SimHei"/>
          <w:b/>
          <w:bCs/>
          <w:color w:val="1A2330"/>
          <w:sz w:val="30"/>
          <w:szCs w:val="30"/>
        </w:rPr>
        <w:t xml:space="preserve">4.1 KI-1: Credential Re-Login Fails for Register-Created Accounts</w:t>
      </w:r>
      <w:bookmarkEnd w:id="12"/>
    </w:p>
    <w:p>
      <w:pPr>
        <w:keepNext w:val="false"/>
        <w:spacing w:after="120" w:before="0" w:line="312"/>
        <w:jc w:val="left"/>
      </w:pPr>
      <w:r>
        <w:rPr>
          <w:rFonts w:ascii="Times New Roman" w:eastAsia="SimSun"/>
          <w:b/>
          <w:bCs/>
          <w:color w:val="000000"/>
          <w:sz w:val="24"/>
          <w:szCs w:val="24"/>
        </w:rPr>
        <w:t xml:space="preserve">Symptom. </w:t>
      </w:r>
      <w:r>
        <w:rPr>
          <w:rFonts w:ascii="Times New Roman" w:eastAsia="SimSun"/>
          <w:b w:val="false"/>
          <w:bCs w:val="false"/>
          <w:color w:val="000000"/>
          <w:sz w:val="24"/>
          <w:szCs w:val="24"/>
        </w:rPr>
        <w:t xml:space="preserve">An account created through the production register form works for the automatic login that follows signup, but every subsequent credentials login is rejected. son@metabolic.dev (password demo1234) was registered in production successfully, then received the generic Incorrect email or password message on re-login. Production logs show the signature: 401 on POST /api/auth/callback/credentials at 13:19:58, 13:20:04, 13:20:07, 13:38:45, and 13:39:35 IST. There are no 5xx responses and no crashes; the 401 is NextAuth's clean CredentialsSignin.</w:t>
      </w:r>
    </w:p>
    <w:p>
      <w:pPr>
        <w:keepNext w:val="false"/>
        <w:spacing w:after="120" w:before="0" w:line="312"/>
        <w:jc w:val="left"/>
      </w:pPr>
      <w:r>
        <w:rPr>
          <w:rFonts w:ascii="Times New Roman" w:eastAsia="SimSun"/>
          <w:b/>
          <w:bCs/>
          <w:color w:val="000000"/>
          <w:sz w:val="24"/>
          <w:szCs w:val="24"/>
        </w:rPr>
        <w:t xml:space="preserve">Isolation. </w:t>
      </w:r>
      <w:r>
        <w:rPr>
          <w:rFonts w:ascii="Times New Roman" w:eastAsia="SimSun"/>
          <w:b w:val="false"/>
          <w:bCs w:val="false"/>
          <w:color w:val="000000"/>
          <w:sz w:val="24"/>
          <w:szCs w:val="24"/>
        </w:rPr>
        <w:t xml:space="preserve">Old accounts are unaffected: demo@metabolic.dev logs in without issue (section 3.3). The bug is therefore isolated to the account-creation path rather than infrastructure. The leading hypotheses are that the register flow stores a password hash in a different scheme than the login verify expects, or that the persisted row carries a field problem such as a NULL column or a case and whitespace mismatch that the authorize check trips on.</w:t>
      </w:r>
    </w:p>
    <w:p>
      <w:pPr>
        <w:keepNext w:val="false"/>
        <w:spacing w:after="120" w:before="0" w:line="312"/>
        <w:jc w:val="left"/>
      </w:pPr>
      <w:r>
        <w:rPr>
          <w:rFonts w:ascii="Times New Roman" w:eastAsia="SimSun"/>
          <w:b/>
          <w:bCs/>
          <w:color w:val="000000"/>
          <w:sz w:val="24"/>
          <w:szCs w:val="24"/>
        </w:rPr>
        <w:t xml:space="preserve">Evidence in flight. </w:t>
      </w:r>
      <w:r>
        <w:rPr>
          <w:rFonts w:ascii="Times New Roman" w:eastAsia="SimSun"/>
          <w:b w:val="false"/>
          <w:bCs w:val="false"/>
          <w:color w:val="000000"/>
          <w:sz w:val="24"/>
          <w:szCs w:val="24"/>
        </w:rPr>
        <w:t xml:space="preserve">Two evidence blocks have been queued and their outputs are pending from the operator. Block A is the source code: the full contents of apps\web\src\app\api\signup\route.ts and apps\web\src\app\api\auth[...nextauth]\route.ts, read with Get-Content -LiteralPath, plus every src file matching authorize, CredentialsProvider, or bcrypt. Block B is the database: the read-only inspector apps\web\inspect-users.js, which searches upward for .env.turso, refuses file: development URLs, lists all tables, and prints every row with an email column together with the password column's length and first twelve characters, so the hash shapes of son@ and demo@ are directly comparable.</w:t>
      </w:r>
    </w:p>
    <w:p>
      <w:pPr>
        <w:keepNext w:val="false"/>
        <w:spacing w:after="120" w:before="0" w:line="312"/>
        <w:jc w:val="left"/>
      </w:pPr>
      <w:r>
        <w:rPr>
          <w:rFonts w:ascii="Times New Roman" w:eastAsia="SimSun"/>
          <w:b/>
          <w:bCs/>
          <w:color w:val="000000"/>
          <w:sz w:val="24"/>
          <w:szCs w:val="24"/>
        </w:rPr>
        <w:t xml:space="preserve">Fix flow once diagnosed. </w:t>
      </w:r>
      <w:r>
        <w:rPr>
          <w:rFonts w:ascii="Times New Roman" w:eastAsia="SimSun"/>
          <w:b w:val="false"/>
          <w:bCs w:val="false"/>
          <w:color w:val="000000"/>
          <w:sz w:val="24"/>
          <w:szCs w:val="24"/>
        </w:rPr>
        <w:t xml:space="preserve">Patch locally, deploy from the repo root with vercel deploy --prod --yes, and have son@ retry login. The login fix rides the single Phase-3 commit so that the git history stays clean at the phase gate.</w:t>
      </w:r>
    </w:p>
    <w:p>
      <w:pPr>
        <w:pStyle w:val="Heading2"/>
        <w:keepNext/>
        <w:spacing w:after="120" w:before="240" w:line="312"/>
        <w:jc w:val="left"/>
      </w:pPr>
      <w:bookmarkStart w:name="_Toc13" w:id="13"/>
      <w:r>
        <w:rPr>
          <w:rFonts w:ascii="Times New Roman" w:eastAsia="SimHei"/>
          <w:b/>
          <w:bCs/>
          <w:color w:val="1A2330"/>
          <w:sz w:val="30"/>
          <w:szCs w:val="30"/>
        </w:rPr>
        <w:t xml:space="preserve">4.2 P3-5 Remaining Verification Scope</w:t>
      </w:r>
      <w:bookmarkEnd w:id="13"/>
    </w:p>
    <w:p>
      <w:pPr>
        <w:keepNext w:val="false"/>
        <w:spacing w:after="120" w:before="0" w:line="312"/>
        <w:jc w:val="left"/>
      </w:pPr>
      <w:r>
        <w:rPr>
          <w:rFonts w:ascii="Times New Roman" w:eastAsia="SimSun"/>
          <w:color w:val="000000"/>
          <w:sz w:val="24"/>
          <w:szCs w:val="24"/>
        </w:rPr>
        <w:t xml:space="preserve">After KI-1 is fixed, four checks close the smoke test. First, register the remaining demo users (section 4.4) and confirm that each can sign out and sign back in. Second, create real records as a demo user: one food entry, one glucose reading, and one lab entry. Third, generate a report from those records and expect a 200 response. Fourth, trigger a data export and expect a 200 response with a valid file. These steps verify the full data path from creation through reporting and export, which pages-only probing cannot cover.</w:t>
      </w:r>
    </w:p>
    <w:p>
      <w:pPr>
        <w:pStyle w:val="Heading2"/>
        <w:keepNext/>
        <w:spacing w:after="120" w:before="240" w:line="312"/>
        <w:jc w:val="left"/>
      </w:pPr>
      <w:bookmarkStart w:name="_Toc14" w:id="14"/>
      <w:r>
        <w:rPr>
          <w:rFonts w:ascii="Times New Roman" w:eastAsia="SimHei"/>
          <w:b/>
          <w:bCs/>
          <w:color w:val="1A2330"/>
          <w:sz w:val="30"/>
          <w:szCs w:val="30"/>
        </w:rPr>
        <w:t xml:space="preserve">4.3 P3-6 Phase-Gate Remnants</w:t>
      </w:r>
      <w:bookmarkEnd w:id="14"/>
    </w:p>
    <w:p>
      <w:pPr>
        <w:keepNext/>
        <w:spacing w:after="80" w:before="0" w:line="312"/>
        <w:jc w:val="left"/>
      </w:pPr>
      <w:r>
        <w:rPr>
          <w:rFonts w:ascii="Times New Roman" w:eastAsia="SimSun"/>
          <w:color w:val="000000"/>
          <w:sz w:val="24"/>
          <w:szCs w:val="24"/>
        </w:rPr>
        <w:t xml:space="preserve">Two administrative items close the Phase-3 gate. They are deliberately sequenced after the KI-1 fix so the login patch is included in the same commit.</w:t>
      </w:r>
    </w:p>
    <w:p>
      <w:pPr>
        <w:pStyle w:val="ListParagraph"/>
        <w:numPr>
          <w:ilvl w:val="0"/>
          <w:numId w:val="4"/>
        </w:numPr>
        <w:spacing w:after="60" w:line="312"/>
        <w:jc w:val="left"/>
      </w:pPr>
      <w:r>
        <w:rPr>
          <w:rFonts w:ascii="Times New Roman" w:eastAsia="SimSun"/>
          <w:b/>
          <w:bCs/>
          <w:color w:val="000000"/>
          <w:sz w:val="24"/>
          <w:szCs w:val="24"/>
        </w:rPr>
        <w:t xml:space="preserve">Single Phase-3 commit: </w:t>
      </w:r>
      <w:r>
        <w:rPr>
          <w:rFonts w:ascii="Times New Roman" w:eastAsia="SimSun"/>
          <w:b w:val="false"/>
          <w:bCs w:val="false"/>
          <w:color w:val="000000"/>
          <w:sz w:val="24"/>
          <w:szCs w:val="24"/>
        </w:rPr>
        <w:t xml:space="preserve">consolidate the Phase-3 work (relink config, environment notes, the KI-1 login fix, and this roadmap) into one commit on main. The push auto-deploys; verify afterward with the section 6.2 probes.</w:t>
      </w:r>
    </w:p>
    <w:p>
      <w:pPr>
        <w:pStyle w:val="ListParagraph"/>
        <w:numPr>
          <w:ilvl w:val="0"/>
          <w:numId w:val="4"/>
        </w:numPr>
        <w:spacing w:after="120" w:line="312"/>
        <w:jc w:val="left"/>
      </w:pPr>
      <w:r>
        <w:rPr>
          <w:rFonts w:ascii="Times New Roman" w:eastAsia="SimSun"/>
          <w:b/>
          <w:bCs/>
          <w:color w:val="000000"/>
          <w:sz w:val="24"/>
          <w:szCs w:val="24"/>
        </w:rPr>
        <w:t xml:space="preserve">Delete the ghost project: </w:t>
      </w:r>
      <w:r>
        <w:rPr>
          <w:rFonts w:ascii="Times New Roman" w:eastAsia="SimSun"/>
          <w:b w:val="false"/>
          <w:bCs w:val="false"/>
          <w:color w:val="000000"/>
          <w:sz w:val="24"/>
          <w:szCs w:val="24"/>
        </w:rPr>
        <w:t xml:space="preserve">remove the stray Vercel project metabolicint via the dashboard (Settings, then Delete Project). Never probe its URLs before or after deletion.</w:t>
      </w:r>
    </w:p>
    <w:p>
      <w:pPr>
        <w:pStyle w:val="Heading2"/>
        <w:keepNext/>
        <w:spacing w:after="120" w:before="240" w:line="312"/>
        <w:jc w:val="left"/>
      </w:pPr>
      <w:bookmarkStart w:name="_Toc15" w:id="15"/>
      <w:r>
        <w:rPr>
          <w:rFonts w:ascii="Times New Roman" w:eastAsia="SimHei"/>
          <w:b/>
          <w:bCs/>
          <w:color w:val="1A2330"/>
          <w:sz w:val="30"/>
          <w:szCs w:val="30"/>
        </w:rPr>
        <w:t xml:space="preserve">4.4 Demo Account Status</w:t>
      </w:r>
      <w:bookmarkEnd w:id="15"/>
    </w:p>
    <w:p>
      <w:pPr>
        <w:keepNext/>
        <w:spacing w:after="120" w:before="0" w:line="312"/>
        <w:jc w:val="left"/>
      </w:pPr>
      <w:r>
        <w:rPr>
          <w:rFonts w:ascii="Times New Roman" w:eastAsia="SimSun"/>
          <w:color w:val="000000"/>
          <w:sz w:val="24"/>
          <w:szCs w:val="24"/>
        </w:rPr>
        <w:t xml:space="preserve">The target state is six working demo accounts: the original account plus five additional registrations, all able to sign out and sign back in to production with the shared demo password. The table records where each account stands today.</w:t>
      </w:r>
    </w:p>
    <w:p>
      <w:pPr>
        <w:keepNext/>
        <w:spacing w:after="80" w:before="200" w:line="312"/>
        <w:jc w:val="left"/>
      </w:pPr>
      <w:r>
        <w:rPr>
          <w:rFonts w:ascii="Times New Roman" w:eastAsia="SimSun"/>
          <w:i/>
          <w:iCs/>
          <w:color w:val="666666"/>
          <w:sz w:val="20"/>
          <w:szCs w:val="20"/>
        </w:rPr>
        <w:t xml:space="preserve">Table 4: Demo account status (2026-10-22)</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2636"/>
        <w:gridCol w:w="1758"/>
        <w:gridCol w:w="4394"/>
      </w:tblGrid>
      <w:tr>
        <w:trPr>
          <w:cantSplit/>
          <w:tblHeader/>
        </w:trPr>
        <w:tc>
          <w:tcPr>
            <w:tcW w:type="pct" w:w="15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Account</w:t>
            </w:r>
          </w:p>
        </w:tc>
        <w:tc>
          <w:tcPr>
            <w:tcW w:type="pct" w:w="10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Password</w:t>
            </w:r>
          </w:p>
        </w:tc>
        <w:tc>
          <w:tcPr>
            <w:tcW w:type="pct" w:w="25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Production status</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demo@metabolic.dev</w:t>
            </w:r>
          </w:p>
        </w:tc>
        <w:tc>
          <w:tcPr>
            <w:tcW w:type="pct" w:w="1000"/>
            <w:tcMar>
              <w:top w:type="dxa" w:w="60"/>
              <w:left w:type="dxa" w:w="120"/>
              <w:bottom w:type="dxa" w:w="60"/>
              <w:right w:type="dxa" w:w="120"/>
            </w:tcMar>
          </w:tcPr>
          <w:p>
            <w:pPr>
              <w:spacing w:line="312"/>
              <w:jc w:val="left"/>
            </w:pPr>
            <w:r>
              <w:rPr>
                <w:rFonts w:ascii="Times New Roman" w:eastAsia="SimSun"/>
                <w:color w:val="000000"/>
                <w:sz w:val="20"/>
                <w:szCs w:val="20"/>
              </w:rPr>
              <w:t xml:space="preserve">demo1234</w:t>
            </w:r>
          </w:p>
        </w:tc>
        <w:tc>
          <w:tcPr>
            <w:tcW w:type="pct" w:w="2500"/>
            <w:tcMar>
              <w:top w:type="dxa" w:w="60"/>
              <w:left w:type="dxa" w:w="120"/>
              <w:bottom w:type="dxa" w:w="60"/>
              <w:right w:type="dxa" w:w="120"/>
            </w:tcMar>
          </w:tcPr>
          <w:p>
            <w:pPr>
              <w:spacing w:line="312"/>
              <w:jc w:val="left"/>
            </w:pPr>
            <w:r>
              <w:rPr>
                <w:rFonts w:ascii="Times New Roman" w:eastAsia="SimSun"/>
                <w:color w:val="000000"/>
                <w:sz w:val="20"/>
                <w:szCs w:val="20"/>
              </w:rPr>
              <w:t xml:space="preserve">Working; verified by the control test</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son@metabolic.dev</w:t>
            </w:r>
          </w:p>
        </w:tc>
        <w:tc>
          <w:tcPr>
            <w:tcW w:type="pct" w:w="1000"/>
            <w:tcMar>
              <w:top w:type="dxa" w:w="60"/>
              <w:left w:type="dxa" w:w="120"/>
              <w:bottom w:type="dxa" w:w="60"/>
              <w:right w:type="dxa" w:w="120"/>
            </w:tcMar>
          </w:tcPr>
          <w:p>
            <w:pPr>
              <w:spacing w:line="312"/>
              <w:jc w:val="left"/>
            </w:pPr>
            <w:r>
              <w:rPr>
                <w:rFonts w:ascii="Times New Roman" w:eastAsia="SimSun"/>
                <w:color w:val="000000"/>
                <w:sz w:val="20"/>
                <w:szCs w:val="20"/>
              </w:rPr>
              <w:t xml:space="preserve">demo1234</w:t>
            </w:r>
          </w:p>
        </w:tc>
        <w:tc>
          <w:tcPr>
            <w:tcW w:type="pct" w:w="2500"/>
            <w:tcMar>
              <w:top w:type="dxa" w:w="60"/>
              <w:left w:type="dxa" w:w="120"/>
              <w:bottom w:type="dxa" w:w="60"/>
              <w:right w:type="dxa" w:w="120"/>
            </w:tcMar>
          </w:tcPr>
          <w:p>
            <w:pPr>
              <w:spacing w:line="312"/>
              <w:jc w:val="left"/>
            </w:pPr>
            <w:r>
              <w:rPr>
                <w:rFonts w:ascii="Times New Roman" w:eastAsia="SimSun"/>
                <w:color w:val="000000"/>
                <w:sz w:val="20"/>
                <w:szCs w:val="20"/>
              </w:rPr>
              <w:t xml:space="preserve">Registered; re-login broken (KI-1)</w:t>
            </w:r>
          </w:p>
        </w:tc>
      </w:tr>
      <w:tr>
        <w:trPr>
          <w:cantSplit/>
        </w:trPr>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4 further demo users</w:t>
            </w:r>
          </w:p>
        </w:tc>
        <w:tc>
          <w:tcPr>
            <w:tcW w:type="pct" w:w="1000"/>
            <w:tcMar>
              <w:top w:type="dxa" w:w="60"/>
              <w:left w:type="dxa" w:w="120"/>
              <w:bottom w:type="dxa" w:w="60"/>
              <w:right w:type="dxa" w:w="120"/>
            </w:tcMar>
          </w:tcPr>
          <w:p>
            <w:pPr>
              <w:spacing w:line="312"/>
              <w:jc w:val="left"/>
            </w:pPr>
            <w:r>
              <w:rPr>
                <w:rFonts w:ascii="Times New Roman" w:eastAsia="SimSun"/>
                <w:color w:val="000000"/>
                <w:sz w:val="20"/>
                <w:szCs w:val="20"/>
              </w:rPr>
              <w:t xml:space="preserve">demo1234</w:t>
            </w:r>
          </w:p>
        </w:tc>
        <w:tc>
          <w:tcPr>
            <w:tcW w:type="pct" w:w="2500"/>
            <w:tcMar>
              <w:top w:type="dxa" w:w="60"/>
              <w:left w:type="dxa" w:w="120"/>
              <w:bottom w:type="dxa" w:w="60"/>
              <w:right w:type="dxa" w:w="120"/>
            </w:tcMar>
          </w:tcPr>
          <w:p>
            <w:pPr>
              <w:spacing w:line="312"/>
              <w:jc w:val="left"/>
            </w:pPr>
            <w:r>
              <w:rPr>
                <w:rFonts w:ascii="Times New Roman" w:eastAsia="SimSun"/>
                <w:color w:val="000000"/>
                <w:sz w:val="20"/>
                <w:szCs w:val="20"/>
              </w:rPr>
              <w:t xml:space="preserve">Emails to confirm; register after the KI-1 fix</w:t>
            </w:r>
          </w:p>
        </w:tc>
      </w:tr>
    </w:tbl>
    <w:p>
      <w:pPr>
        <w:keepNext w:val="false"/>
        <w:spacing w:after="200" w:before="0" w:line="312"/>
        <w:jc w:val="left"/>
      </w:pPr>
      <w:r>
        <w:rPr>
          <w:rFonts w:ascii="Times New Roman" w:eastAsia="SimSun"/>
          <w:color w:val="000000"/>
          <w:sz w:val="24"/>
          <w:szCs w:val="24"/>
        </w:rPr>
        <w:t xml:space="preserve">The remaining four email addresses should be confirmed with the family before registration so the demo set matches the people who will actually use the caregiver features in Phase 6.</w:t>
      </w:r>
    </w:p>
    <w:p>
      <w:pPr>
        <w:pStyle w:val="Heading1"/>
        <w:keepNext/>
        <w:spacing w:after="160" w:before="360" w:line="312"/>
        <w:jc w:val="center"/>
      </w:pPr>
      <w:bookmarkStart w:name="_Toc16" w:id="16"/>
      <w:r>
        <w:rPr>
          <w:rFonts w:ascii="Times New Roman" w:eastAsia="SimHei"/>
          <w:b/>
          <w:bCs/>
          <w:color w:val="1A2330"/>
          <w:sz w:val="32"/>
          <w:szCs w:val="32"/>
        </w:rPr>
        <w:t xml:space="preserve">5. Planned Scope (Phases 4-6)</w:t>
      </w:r>
      <w:bookmarkEnd w:id="16"/>
    </w:p>
    <w:p>
      <w:pPr>
        <w:pStyle w:val="Heading2"/>
        <w:keepNext/>
        <w:spacing w:after="120" w:before="240" w:line="312"/>
        <w:jc w:val="left"/>
      </w:pPr>
      <w:bookmarkStart w:name="_Toc17" w:id="17"/>
      <w:r>
        <w:rPr>
          <w:rFonts w:ascii="Times New Roman" w:eastAsia="SimHei"/>
          <w:b/>
          <w:bCs/>
          <w:color w:val="1A2330"/>
          <w:sz w:val="30"/>
          <w:szCs w:val="30"/>
        </w:rPr>
        <w:t xml:space="preserve">5.1 Phase 4: Foundations (PRD approved, build-ready)</w:t>
      </w:r>
      <w:bookmarkEnd w:id="17"/>
    </w:p>
    <w:p>
      <w:pPr>
        <w:keepNext/>
        <w:spacing w:after="120" w:before="0" w:line="312"/>
        <w:jc w:val="left"/>
      </w:pPr>
      <w:r>
        <w:rPr>
          <w:rFonts w:ascii="Times New Roman" w:eastAsia="SimSun"/>
          <w:color w:val="000000"/>
          <w:sz w:val="24"/>
          <w:szCs w:val="24"/>
        </w:rPr>
        <w:t xml:space="preserve">Phase 4 turns the deployed tracker into a daily-use product: a consolidated digest, the two data types the digest needs, structured lab entry tuned for Indian diagnostic practice, and the activation of the AI coach. The full specification, including per-feature functional requirements and Given/When/Then acceptance criteria, is the approved MetabolicInt-Phase4-PRD.pdf; the table below is the working summary that this roadmap will keep updated as features ship.</w:t>
      </w:r>
    </w:p>
    <w:p>
      <w:pPr>
        <w:keepNext/>
        <w:spacing w:after="80" w:before="200" w:line="312"/>
        <w:jc w:val="left"/>
      </w:pPr>
      <w:r>
        <w:rPr>
          <w:rFonts w:ascii="Times New Roman" w:eastAsia="SimSun"/>
          <w:i/>
          <w:iCs/>
          <w:color w:val="666666"/>
          <w:sz w:val="20"/>
          <w:szCs w:val="20"/>
        </w:rPr>
        <w:t xml:space="preserve">Table 5: Phase 4 feature summary (authoritative detail in the PRD)</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703"/>
        <w:gridCol w:w="1758"/>
        <w:gridCol w:w="3691"/>
        <w:gridCol w:w="2636"/>
      </w:tblGrid>
      <w:tr>
        <w:trPr>
          <w:cantSplit/>
          <w:tblHeader/>
        </w:trPr>
        <w:tc>
          <w:tcPr>
            <w:tcW w:type="pct" w:w="4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ID</w:t>
            </w:r>
          </w:p>
        </w:tc>
        <w:tc>
          <w:tcPr>
            <w:tcW w:type="pct" w:w="10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Feature</w:t>
            </w:r>
          </w:p>
        </w:tc>
        <w:tc>
          <w:tcPr>
            <w:tcW w:type="pct" w:w="21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One-line scope</w:t>
            </w:r>
          </w:p>
        </w:tc>
        <w:tc>
          <w:tcPr>
            <w:tcW w:type="pct" w:w="15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Acceptance anchor (from the PRD)</w:t>
            </w:r>
          </w:p>
        </w:tc>
      </w:tr>
      <w:tr>
        <w:trPr>
          <w:cantSplit/>
        </w:trPr>
        <w:tc>
          <w:tcPr>
            <w:tcW w:type="pct" w:w="400"/>
            <w:tcMar>
              <w:top w:type="dxa" w:w="60"/>
              <w:left w:type="dxa" w:w="120"/>
              <w:bottom w:type="dxa" w:w="60"/>
              <w:right w:type="dxa" w:w="120"/>
            </w:tcMar>
          </w:tcPr>
          <w:p>
            <w:pPr>
              <w:spacing w:line="312"/>
              <w:jc w:val="left"/>
            </w:pPr>
            <w:r>
              <w:rPr>
                <w:rFonts w:ascii="Times New Roman" w:eastAsia="SimSun"/>
                <w:color w:val="000000"/>
                <w:sz w:val="20"/>
                <w:szCs w:val="20"/>
              </w:rPr>
              <w:t xml:space="preserve">P4-A</w:t>
            </w:r>
          </w:p>
        </w:tc>
        <w:tc>
          <w:tcPr>
            <w:tcW w:type="pct" w:w="1000"/>
            <w:tcMar>
              <w:top w:type="dxa" w:w="60"/>
              <w:left w:type="dxa" w:w="120"/>
              <w:bottom w:type="dxa" w:w="60"/>
              <w:right w:type="dxa" w:w="120"/>
            </w:tcMar>
          </w:tcPr>
          <w:p>
            <w:pPr>
              <w:spacing w:line="312"/>
              <w:jc w:val="left"/>
            </w:pPr>
            <w:r>
              <w:rPr>
                <w:rFonts w:ascii="Times New Roman" w:eastAsia="SimSun"/>
                <w:color w:val="000000"/>
                <w:sz w:val="20"/>
                <w:szCs w:val="20"/>
              </w:rPr>
              <w:t xml:space="preserve">Daily digest v1</w:t>
            </w:r>
          </w:p>
        </w:tc>
        <w:tc>
          <w:tcPr>
            <w:tcW w:type="pct" w:w="2100"/>
            <w:tcMar>
              <w:top w:type="dxa" w:w="60"/>
              <w:left w:type="dxa" w:w="120"/>
              <w:bottom w:type="dxa" w:w="60"/>
              <w:right w:type="dxa" w:w="120"/>
            </w:tcMar>
          </w:tcPr>
          <w:p>
            <w:pPr>
              <w:spacing w:line="312"/>
              <w:jc w:val="left"/>
            </w:pPr>
            <w:r>
              <w:rPr>
                <w:rFonts w:ascii="Times New Roman" w:eastAsia="SimSun"/>
                <w:color w:val="000000"/>
                <w:sz w:val="20"/>
                <w:szCs w:val="20"/>
              </w:rPr>
              <w:t xml:space="preserve">Consolidated daily-summary dashboard: meals, glucose, meds, and activity in one view</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Digest page renders per-user data for any day; entries link to their sources</w:t>
            </w:r>
          </w:p>
        </w:tc>
      </w:tr>
      <w:tr>
        <w:trPr>
          <w:cantSplit/>
        </w:trPr>
        <w:tc>
          <w:tcPr>
            <w:tcW w:type="pct" w:w="400"/>
            <w:tcMar>
              <w:top w:type="dxa" w:w="60"/>
              <w:left w:type="dxa" w:w="120"/>
              <w:bottom w:type="dxa" w:w="60"/>
              <w:right w:type="dxa" w:w="120"/>
            </w:tcMar>
          </w:tcPr>
          <w:p>
            <w:pPr>
              <w:spacing w:line="312"/>
              <w:jc w:val="left"/>
            </w:pPr>
            <w:r>
              <w:rPr>
                <w:rFonts w:ascii="Times New Roman" w:eastAsia="SimSun"/>
                <w:color w:val="000000"/>
                <w:sz w:val="20"/>
                <w:szCs w:val="20"/>
              </w:rPr>
              <w:t xml:space="preserve">P4-B</w:t>
            </w:r>
          </w:p>
        </w:tc>
        <w:tc>
          <w:tcPr>
            <w:tcW w:type="pct" w:w="1000"/>
            <w:tcMar>
              <w:top w:type="dxa" w:w="60"/>
              <w:left w:type="dxa" w:w="120"/>
              <w:bottom w:type="dxa" w:w="60"/>
              <w:right w:type="dxa" w:w="120"/>
            </w:tcMar>
          </w:tcPr>
          <w:p>
            <w:pPr>
              <w:spacing w:line="312"/>
              <w:jc w:val="left"/>
            </w:pPr>
            <w:r>
              <w:rPr>
                <w:rFonts w:ascii="Times New Roman" w:eastAsia="SimSun"/>
                <w:color w:val="000000"/>
                <w:sz w:val="20"/>
                <w:szCs w:val="20"/>
              </w:rPr>
              <w:t xml:space="preserve">Meds and activity tracking</w:t>
            </w:r>
          </w:p>
        </w:tc>
        <w:tc>
          <w:tcPr>
            <w:tcW w:type="pct" w:w="2100"/>
            <w:tcMar>
              <w:top w:type="dxa" w:w="60"/>
              <w:left w:type="dxa" w:w="120"/>
              <w:bottom w:type="dxa" w:w="60"/>
              <w:right w:type="dxa" w:w="120"/>
            </w:tcMar>
          </w:tcPr>
          <w:p>
            <w:pPr>
              <w:spacing w:line="312"/>
              <w:jc w:val="left"/>
            </w:pPr>
            <w:r>
              <w:rPr>
                <w:rFonts w:ascii="Times New Roman" w:eastAsia="SimSun"/>
                <w:color w:val="000000"/>
                <w:sz w:val="20"/>
                <w:szCs w:val="20"/>
              </w:rPr>
              <w:t xml:space="preserve">Dedicated meds logging and activity tracking as first-class data types that feed the digest</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Records persist per user and appear in the digest the same day</w:t>
            </w:r>
          </w:p>
        </w:tc>
      </w:tr>
      <w:tr>
        <w:trPr>
          <w:cantSplit/>
        </w:trPr>
        <w:tc>
          <w:tcPr>
            <w:tcW w:type="pct" w:w="400"/>
            <w:tcMar>
              <w:top w:type="dxa" w:w="60"/>
              <w:left w:type="dxa" w:w="120"/>
              <w:bottom w:type="dxa" w:w="60"/>
              <w:right w:type="dxa" w:w="120"/>
            </w:tcMar>
          </w:tcPr>
          <w:p>
            <w:pPr>
              <w:spacing w:line="312"/>
              <w:jc w:val="left"/>
            </w:pPr>
            <w:r>
              <w:rPr>
                <w:rFonts w:ascii="Times New Roman" w:eastAsia="SimSun"/>
                <w:color w:val="000000"/>
                <w:sz w:val="20"/>
                <w:szCs w:val="20"/>
              </w:rPr>
              <w:t xml:space="preserve">P4-C</w:t>
            </w:r>
          </w:p>
        </w:tc>
        <w:tc>
          <w:tcPr>
            <w:tcW w:type="pct" w:w="1000"/>
            <w:tcMar>
              <w:top w:type="dxa" w:w="60"/>
              <w:left w:type="dxa" w:w="120"/>
              <w:bottom w:type="dxa" w:w="60"/>
              <w:right w:type="dxa" w:w="120"/>
            </w:tcMar>
          </w:tcPr>
          <w:p>
            <w:pPr>
              <w:spacing w:line="312"/>
              <w:jc w:val="left"/>
            </w:pPr>
            <w:r>
              <w:rPr>
                <w:rFonts w:ascii="Times New Roman" w:eastAsia="SimSun"/>
                <w:color w:val="000000"/>
                <w:sz w:val="20"/>
                <w:szCs w:val="20"/>
              </w:rPr>
              <w:t xml:space="preserve">Manual lab entry with Indian presets</w:t>
            </w:r>
          </w:p>
        </w:tc>
        <w:tc>
          <w:tcPr>
            <w:tcW w:type="pct" w:w="2100"/>
            <w:tcMar>
              <w:top w:type="dxa" w:w="60"/>
              <w:left w:type="dxa" w:w="120"/>
              <w:bottom w:type="dxa" w:w="60"/>
              <w:right w:type="dxa" w:w="120"/>
            </w:tcMar>
          </w:tcPr>
          <w:p>
            <w:pPr>
              <w:spacing w:line="312"/>
              <w:jc w:val="left"/>
            </w:pPr>
            <w:r>
              <w:rPr>
                <w:rFonts w:ascii="Times New Roman" w:eastAsia="SimSun"/>
                <w:color w:val="000000"/>
                <w:sz w:val="20"/>
                <w:szCs w:val="20"/>
              </w:rPr>
              <w:t xml:space="preserve">Lab form with basic, advanced, and super-advanced Indian diagnostic panel presets; only HbA1c is mandatory</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The three preset tiers fill the panel; an entry with HbA1c alone saves successfully</w:t>
            </w:r>
          </w:p>
        </w:tc>
      </w:tr>
      <w:tr>
        <w:trPr>
          <w:cantSplit/>
        </w:trPr>
        <w:tc>
          <w:tcPr>
            <w:tcW w:type="pct" w:w="400"/>
            <w:tcMar>
              <w:top w:type="dxa" w:w="60"/>
              <w:left w:type="dxa" w:w="120"/>
              <w:bottom w:type="dxa" w:w="60"/>
              <w:right w:type="dxa" w:w="120"/>
            </w:tcMar>
          </w:tcPr>
          <w:p>
            <w:pPr>
              <w:spacing w:line="312"/>
              <w:jc w:val="left"/>
            </w:pPr>
            <w:r>
              <w:rPr>
                <w:rFonts w:ascii="Times New Roman" w:eastAsia="SimSun"/>
                <w:color w:val="000000"/>
                <w:sz w:val="20"/>
                <w:szCs w:val="20"/>
              </w:rPr>
              <w:t xml:space="preserve">P4-D</w:t>
            </w:r>
          </w:p>
        </w:tc>
        <w:tc>
          <w:tcPr>
            <w:tcW w:type="pct" w:w="1000"/>
            <w:tcMar>
              <w:top w:type="dxa" w:w="60"/>
              <w:left w:type="dxa" w:w="120"/>
              <w:bottom w:type="dxa" w:w="60"/>
              <w:right w:type="dxa" w:w="120"/>
            </w:tcMar>
          </w:tcPr>
          <w:p>
            <w:pPr>
              <w:spacing w:line="312"/>
              <w:jc w:val="left"/>
            </w:pPr>
            <w:r>
              <w:rPr>
                <w:rFonts w:ascii="Times New Roman" w:eastAsia="SimSun"/>
                <w:color w:val="000000"/>
                <w:sz w:val="20"/>
                <w:szCs w:val="20"/>
              </w:rPr>
              <w:t xml:space="preserve">Coach activation</w:t>
            </w:r>
          </w:p>
        </w:tc>
        <w:tc>
          <w:tcPr>
            <w:tcW w:type="pct" w:w="2100"/>
            <w:tcMar>
              <w:top w:type="dxa" w:w="60"/>
              <w:left w:type="dxa" w:w="120"/>
              <w:bottom w:type="dxa" w:w="60"/>
              <w:right w:type="dxa" w:w="120"/>
            </w:tcMar>
          </w:tcPr>
          <w:p>
            <w:pPr>
              <w:spacing w:line="312"/>
              <w:jc w:val="left"/>
            </w:pPr>
            <w:r>
              <w:rPr>
                <w:rFonts w:ascii="Times New Roman" w:eastAsia="SimSun"/>
                <w:color w:val="000000"/>
                <w:sz w:val="20"/>
                <w:szCs w:val="20"/>
              </w:rPr>
              <w:t xml:space="preserve">Add OPENAI_API_KEY to the production env (add-only rule) and bring the /coach scaffold alive</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Coach responds with real model output; the key is never logged</w:t>
            </w:r>
          </w:p>
        </w:tc>
      </w:tr>
      <w:tr>
        <w:trPr>
          <w:cantSplit/>
        </w:trPr>
        <w:tc>
          <w:tcPr>
            <w:tcW w:type="pct" w:w="400"/>
            <w:tcMar>
              <w:top w:type="dxa" w:w="60"/>
              <w:left w:type="dxa" w:w="120"/>
              <w:bottom w:type="dxa" w:w="60"/>
              <w:right w:type="dxa" w:w="120"/>
            </w:tcMar>
          </w:tcPr>
          <w:p>
            <w:pPr>
              <w:spacing w:line="312"/>
              <w:jc w:val="left"/>
            </w:pPr>
            <w:r>
              <w:rPr>
                <w:rFonts w:ascii="Times New Roman" w:eastAsia="SimSun"/>
                <w:color w:val="000000"/>
                <w:sz w:val="20"/>
                <w:szCs w:val="20"/>
              </w:rPr>
              <w:t xml:space="preserve">P4-E</w:t>
            </w:r>
          </w:p>
        </w:tc>
        <w:tc>
          <w:tcPr>
            <w:tcW w:type="pct" w:w="1000"/>
            <w:tcMar>
              <w:top w:type="dxa" w:w="60"/>
              <w:left w:type="dxa" w:w="120"/>
              <w:bottom w:type="dxa" w:w="60"/>
              <w:right w:type="dxa" w:w="120"/>
            </w:tcMar>
          </w:tcPr>
          <w:p>
            <w:pPr>
              <w:spacing w:line="312"/>
              <w:jc w:val="left"/>
            </w:pPr>
            <w:r>
              <w:rPr>
                <w:rFonts w:ascii="Times New Roman" w:eastAsia="SimSun"/>
                <w:color w:val="000000"/>
                <w:sz w:val="20"/>
                <w:szCs w:val="20"/>
              </w:rPr>
              <w:t xml:space="preserve">Hygiene pack</w:t>
            </w:r>
          </w:p>
        </w:tc>
        <w:tc>
          <w:tcPr>
            <w:tcW w:type="pct" w:w="2100"/>
            <w:tcMar>
              <w:top w:type="dxa" w:w="60"/>
              <w:left w:type="dxa" w:w="120"/>
              <w:bottom w:type="dxa" w:w="60"/>
              <w:right w:type="dxa" w:w="120"/>
            </w:tcMar>
          </w:tcPr>
          <w:p>
            <w:pPr>
              <w:spacing w:line="312"/>
              <w:jc w:val="left"/>
            </w:pPr>
            <w:r>
              <w:rPr>
                <w:rFonts w:ascii="Times New Roman" w:eastAsia="SimSun"/>
                <w:color w:val="000000"/>
                <w:sz w:val="20"/>
                <w:szCs w:val="20"/>
              </w:rPr>
              <w:t xml:space="preserve">Password reset (requires an email provider), change-password flow, per-user data isolation hardening for six accounts</w:t>
            </w:r>
          </w:p>
        </w:tc>
        <w:tc>
          <w:tcPr>
            <w:tcW w:type="pct" w:w="1500"/>
            <w:tcMar>
              <w:top w:type="dxa" w:w="60"/>
              <w:left w:type="dxa" w:w="120"/>
              <w:bottom w:type="dxa" w:w="60"/>
              <w:right w:type="dxa" w:w="120"/>
            </w:tcMar>
          </w:tcPr>
          <w:p>
            <w:pPr>
              <w:spacing w:line="312"/>
              <w:jc w:val="left"/>
            </w:pPr>
            <w:r>
              <w:rPr>
                <w:rFonts w:ascii="Times New Roman" w:eastAsia="SimSun"/>
                <w:color w:val="000000"/>
                <w:sz w:val="20"/>
                <w:szCs w:val="20"/>
              </w:rPr>
              <w:t xml:space="preserve">Users can change passwords; the reset flow works end to end; cross-user access tests fail closed</w:t>
            </w:r>
          </w:p>
        </w:tc>
      </w:tr>
    </w:tbl>
    <w:p>
      <w:pPr>
        <w:keepNext w:val="false"/>
        <w:spacing w:after="120" w:before="0" w:line="312"/>
        <w:jc w:val="left"/>
      </w:pPr>
      <w:r>
        <w:rPr>
          <w:rFonts w:ascii="Times New Roman" w:eastAsia="SimSun"/>
          <w:color w:val="000000"/>
          <w:sz w:val="24"/>
          <w:szCs w:val="24"/>
        </w:rPr>
        <w:t xml:space="preserve">Engineering constraints carried from the PRD: Prisma and Turso migrations are required for the new data types; the environment change for OPENAI_API_KEY follows the add-only rule; model call costs are acknowledged but deferred with the Phase 5 vision features; and the retention policy for uploaded documents is a Phase 5 concern. Smoke Test v2 in the PRD includes the register-logout-re-login regression step that would have caught KI-1, so it becomes part of every future deployment verification.</w:t>
      </w:r>
    </w:p>
    <w:p>
      <w:pPr>
        <w:pStyle w:val="Heading2"/>
        <w:keepNext/>
        <w:spacing w:after="120" w:before="240" w:line="312"/>
        <w:jc w:val="left"/>
      </w:pPr>
      <w:bookmarkStart w:name="_Toc18" w:id="18"/>
      <w:r>
        <w:rPr>
          <w:rFonts w:ascii="Times New Roman" w:eastAsia="SimHei"/>
          <w:b/>
          <w:bCs/>
          <w:color w:val="1A2330"/>
          <w:sz w:val="30"/>
          <w:szCs w:val="30"/>
        </w:rPr>
        <w:t xml:space="preserve">5.2 Phase 5: Intelligence</w:t>
      </w:r>
      <w:bookmarkEnd w:id="18"/>
    </w:p>
    <w:p>
      <w:pPr>
        <w:keepNext/>
        <w:spacing w:after="80" w:before="0" w:line="312"/>
        <w:jc w:val="left"/>
      </w:pPr>
      <w:r>
        <w:rPr>
          <w:rFonts w:ascii="Times New Roman" w:eastAsia="SimSun"/>
          <w:color w:val="000000"/>
          <w:sz w:val="24"/>
          <w:szCs w:val="24"/>
        </w:rPr>
        <w:t xml:space="preserve">Phase 5 makes the tracker genuinely smart, building on the Phase 4 foundations. Its items are scoped but not yet specified to PRD depth; the working list is:</w:t>
      </w:r>
    </w:p>
    <w:p>
      <w:pPr>
        <w:pStyle w:val="ListParagraph"/>
        <w:numPr>
          <w:ilvl w:val="0"/>
          <w:numId w:val="5"/>
        </w:numPr>
        <w:spacing w:after="60" w:line="312"/>
        <w:jc w:val="left"/>
      </w:pPr>
      <w:r>
        <w:rPr>
          <w:rFonts w:ascii="Times New Roman" w:eastAsia="SimSun"/>
          <w:b/>
          <w:bCs/>
          <w:color w:val="000000"/>
          <w:sz w:val="24"/>
          <w:szCs w:val="24"/>
        </w:rPr>
        <w:t xml:space="preserve">Lab-report upload with vision extraction. </w:t>
      </w:r>
      <w:r>
        <w:rPr>
          <w:rFonts w:ascii="Times New Roman" w:eastAsia="SimSun"/>
          <w:b w:val="false"/>
          <w:bCs w:val="false"/>
          <w:color w:val="000000"/>
          <w:sz w:val="24"/>
          <w:szCs w:val="24"/>
        </w:rPr>
        <w:t xml:space="preserve">Photo or PDF upload auto-populates lab fields with only HbA1c mandatory, a mandatory review screen before save, and an extract-then-delete retention policy for the uploaded file.</w:t>
      </w:r>
    </w:p>
    <w:p>
      <w:pPr>
        <w:pStyle w:val="ListParagraph"/>
        <w:numPr>
          <w:ilvl w:val="0"/>
          <w:numId w:val="5"/>
        </w:numPr>
        <w:spacing w:after="60" w:line="312"/>
        <w:jc w:val="left"/>
      </w:pPr>
      <w:r>
        <w:rPr>
          <w:rFonts w:ascii="Times New Roman" w:eastAsia="SimSun"/>
          <w:b/>
          <w:bCs/>
          <w:color w:val="000000"/>
          <w:sz w:val="24"/>
          <w:szCs w:val="24"/>
        </w:rPr>
        <w:t xml:space="preserve">Full LLM coach. </w:t>
      </w:r>
      <w:r>
        <w:rPr>
          <w:rFonts w:ascii="Times New Roman" w:eastAsia="SimSun"/>
          <w:b w:val="false"/>
          <w:bCs w:val="false"/>
          <w:color w:val="000000"/>
          <w:sz w:val="24"/>
          <w:szCs w:val="24"/>
        </w:rPr>
        <w:t xml:space="preserve">Context-aware coaching over the user's logged data, building on the Phase 4 key activation.</w:t>
      </w:r>
    </w:p>
    <w:p>
      <w:pPr>
        <w:pStyle w:val="ListParagraph"/>
        <w:numPr>
          <w:ilvl w:val="0"/>
          <w:numId w:val="5"/>
        </w:numPr>
        <w:spacing w:after="60" w:line="312"/>
        <w:jc w:val="left"/>
      </w:pPr>
      <w:r>
        <w:rPr>
          <w:rFonts w:ascii="Times New Roman" w:eastAsia="SimSun"/>
          <w:b/>
          <w:bCs/>
          <w:color w:val="000000"/>
          <w:sz w:val="24"/>
          <w:szCs w:val="24"/>
        </w:rPr>
        <w:t xml:space="preserve">Glucose insights. </w:t>
      </w:r>
      <w:r>
        <w:rPr>
          <w:rFonts w:ascii="Times New Roman" w:eastAsia="SimSun"/>
          <w:b w:val="false"/>
          <w:bCs w:val="false"/>
          <w:color w:val="000000"/>
          <w:sz w:val="24"/>
          <w:szCs w:val="24"/>
        </w:rPr>
        <w:t xml:space="preserve">Fasting versus post-prandial breakdown, GMI, and trend views on the insights and predict pages.</w:t>
      </w:r>
    </w:p>
    <w:p>
      <w:pPr>
        <w:pStyle w:val="ListParagraph"/>
        <w:numPr>
          <w:ilvl w:val="0"/>
          <w:numId w:val="5"/>
        </w:numPr>
        <w:spacing w:after="60" w:line="312"/>
        <w:jc w:val="left"/>
      </w:pPr>
      <w:r>
        <w:rPr>
          <w:rFonts w:ascii="Times New Roman" w:eastAsia="SimSun"/>
          <w:b/>
          <w:bCs/>
          <w:color w:val="000000"/>
          <w:sz w:val="24"/>
          <w:szCs w:val="24"/>
        </w:rPr>
        <w:t xml:space="preserve">Reminders. </w:t>
      </w:r>
      <w:r>
        <w:rPr>
          <w:rFonts w:ascii="Times New Roman" w:eastAsia="SimSun"/>
          <w:b w:val="false"/>
          <w:bCs w:val="false"/>
          <w:color w:val="000000"/>
          <w:sz w:val="24"/>
          <w:szCs w:val="24"/>
        </w:rPr>
        <w:t xml:space="preserve">Medication and glucose-check reminders, browser notifications first and email later.</w:t>
      </w:r>
    </w:p>
    <w:p>
      <w:pPr>
        <w:pStyle w:val="ListParagraph"/>
        <w:numPr>
          <w:ilvl w:val="0"/>
          <w:numId w:val="5"/>
        </w:numPr>
        <w:spacing w:after="120" w:line="312"/>
        <w:jc w:val="left"/>
      </w:pPr>
      <w:r>
        <w:rPr>
          <w:rFonts w:ascii="Times New Roman" w:eastAsia="SimSun"/>
          <w:b/>
          <w:bCs/>
          <w:color w:val="000000"/>
          <w:sz w:val="24"/>
          <w:szCs w:val="24"/>
        </w:rPr>
        <w:t xml:space="preserve">Parked: email verification and phone OTP login. </w:t>
      </w:r>
      <w:r>
        <w:rPr>
          <w:rFonts w:ascii="Times New Roman" w:eastAsia="SimSun"/>
          <w:b w:val="false"/>
          <w:bCs w:val="false"/>
          <w:color w:val="000000"/>
          <w:sz w:val="24"/>
          <w:szCs w:val="24"/>
        </w:rPr>
        <w:t xml:space="preserve">Requires an email or SMS provider and a phone field; a deliberate deferral, not an omission.</w:t>
      </w:r>
    </w:p>
    <w:p>
      <w:pPr>
        <w:pStyle w:val="Heading2"/>
        <w:keepNext/>
        <w:spacing w:after="120" w:before="240" w:line="312"/>
        <w:jc w:val="left"/>
      </w:pPr>
      <w:bookmarkStart w:name="_Toc19" w:id="19"/>
      <w:r>
        <w:rPr>
          <w:rFonts w:ascii="Times New Roman" w:eastAsia="SimHei"/>
          <w:b/>
          <w:bCs/>
          <w:color w:val="1A2330"/>
          <w:sz w:val="30"/>
          <w:szCs w:val="30"/>
        </w:rPr>
        <w:t xml:space="preserve">5.3 Phase 6: Family and Scale</w:t>
      </w:r>
      <w:bookmarkEnd w:id="19"/>
    </w:p>
    <w:p>
      <w:pPr>
        <w:keepNext/>
        <w:spacing w:after="80" w:before="0" w:line="312"/>
        <w:jc w:val="left"/>
      </w:pPr>
      <w:r>
        <w:rPr>
          <w:rFonts w:ascii="Times New Roman" w:eastAsia="SimSun"/>
          <w:color w:val="000000"/>
          <w:sz w:val="24"/>
          <w:szCs w:val="24"/>
        </w:rPr>
        <w:t xml:space="preserve">Phase 6 formalizes the care circle and scales the product to its full intended shape. The working list is:</w:t>
      </w:r>
    </w:p>
    <w:p>
      <w:pPr>
        <w:pStyle w:val="ListParagraph"/>
        <w:numPr>
          <w:ilvl w:val="0"/>
          <w:numId w:val="6"/>
        </w:numPr>
        <w:spacing w:after="60" w:line="312"/>
        <w:jc w:val="left"/>
      </w:pPr>
      <w:r>
        <w:rPr>
          <w:rFonts w:ascii="Times New Roman" w:eastAsia="SimSun"/>
          <w:b/>
          <w:bCs/>
          <w:color w:val="000000"/>
          <w:sz w:val="24"/>
          <w:szCs w:val="24"/>
        </w:rPr>
        <w:t xml:space="preserve">Family and caregiver mode. </w:t>
      </w:r>
      <w:r>
        <w:rPr>
          <w:rFonts w:ascii="Times New Roman" w:eastAsia="SimSun"/>
          <w:b w:val="false"/>
          <w:bCs w:val="false"/>
          <w:color w:val="000000"/>
          <w:sz w:val="24"/>
          <w:szCs w:val="24"/>
        </w:rPr>
        <w:t xml:space="preserve">Roles and invitations, with caregiver dashboards that formalize the son's contribution under scoped access.</w:t>
      </w:r>
    </w:p>
    <w:p>
      <w:pPr>
        <w:pStyle w:val="ListParagraph"/>
        <w:numPr>
          <w:ilvl w:val="0"/>
          <w:numId w:val="6"/>
        </w:numPr>
        <w:spacing w:after="60" w:line="312"/>
        <w:jc w:val="left"/>
      </w:pPr>
      <w:r>
        <w:rPr>
          <w:rFonts w:ascii="Times New Roman" w:eastAsia="SimSun"/>
          <w:b/>
          <w:bCs/>
          <w:color w:val="000000"/>
          <w:sz w:val="24"/>
          <w:szCs w:val="24"/>
        </w:rPr>
        <w:t xml:space="preserve">Doctor-visit PDF report. </w:t>
      </w:r>
      <w:r>
        <w:rPr>
          <w:rFonts w:ascii="Times New Roman" w:eastAsia="SimSun"/>
          <w:b w:val="false"/>
          <w:bCs w:val="false"/>
          <w:color w:val="000000"/>
          <w:sz w:val="24"/>
          <w:szCs w:val="24"/>
        </w:rPr>
        <w:t xml:space="preserve">A one-click, doctor-ready summary generated from the reports data.</w:t>
      </w:r>
    </w:p>
    <w:p>
      <w:pPr>
        <w:pStyle w:val="ListParagraph"/>
        <w:numPr>
          <w:ilvl w:val="0"/>
          <w:numId w:val="6"/>
        </w:numPr>
        <w:spacing w:after="60" w:line="312"/>
        <w:jc w:val="left"/>
      </w:pPr>
      <w:r>
        <w:rPr>
          <w:rFonts w:ascii="Times New Roman" w:eastAsia="SimSun"/>
          <w:b/>
          <w:bCs/>
          <w:color w:val="000000"/>
          <w:sz w:val="24"/>
          <w:szCs w:val="24"/>
        </w:rPr>
        <w:t xml:space="preserve">CGM import. </w:t>
      </w:r>
      <w:r>
        <w:rPr>
          <w:rFonts w:ascii="Times New Roman" w:eastAsia="SimSun"/>
          <w:b w:val="false"/>
          <w:bCs w:val="false"/>
          <w:color w:val="000000"/>
          <w:sz w:val="24"/>
          <w:szCs w:val="24"/>
        </w:rPr>
        <w:t xml:space="preserve">Ingest continuous glucose monitor exports.</w:t>
      </w:r>
    </w:p>
    <w:p>
      <w:pPr>
        <w:pStyle w:val="ListParagraph"/>
        <w:numPr>
          <w:ilvl w:val="0"/>
          <w:numId w:val="6"/>
        </w:numPr>
        <w:spacing w:after="120" w:line="312"/>
        <w:jc w:val="left"/>
      </w:pPr>
      <w:r>
        <w:rPr>
          <w:rFonts w:ascii="Times New Roman" w:eastAsia="SimSun"/>
          <w:b/>
          <w:bCs/>
          <w:color w:val="000000"/>
          <w:sz w:val="24"/>
          <w:szCs w:val="24"/>
        </w:rPr>
        <w:t xml:space="preserve">Separate doctor and admin logins. </w:t>
      </w:r>
      <w:r>
        <w:rPr>
          <w:rFonts w:ascii="Times New Roman" w:eastAsia="SimSun"/>
          <w:b w:val="false"/>
          <w:bCs w:val="false"/>
          <w:color w:val="000000"/>
          <w:sz w:val="24"/>
          <w:szCs w:val="24"/>
        </w:rPr>
        <w:t xml:space="preserve">A roles field and distinct portals, tied into the caregiver mode.</w:t>
      </w:r>
    </w:p>
    <w:p>
      <w:pPr>
        <w:pStyle w:val="Heading2"/>
        <w:keepNext/>
        <w:spacing w:after="120" w:before="240" w:line="312"/>
        <w:jc w:val="left"/>
      </w:pPr>
      <w:bookmarkStart w:name="_Toc20" w:id="20"/>
      <w:r>
        <w:rPr>
          <w:rFonts w:ascii="Times New Roman" w:eastAsia="SimHei"/>
          <w:b/>
          <w:bCs/>
          <w:color w:val="1A2330"/>
          <w:sz w:val="30"/>
          <w:szCs w:val="30"/>
        </w:rPr>
        <w:t xml:space="preserve">5.4 Parked and Rejected Items</w:t>
      </w:r>
      <w:bookmarkEnd w:id="20"/>
    </w:p>
    <w:p>
      <w:pPr>
        <w:keepNext w:val="false"/>
        <w:spacing w:after="200" w:before="0" w:line="312"/>
        <w:jc w:val="left"/>
      </w:pPr>
      <w:r>
        <w:rPr>
          <w:rFonts w:ascii="Times New Roman" w:eastAsia="SimSun"/>
          <w:color w:val="000000"/>
          <w:sz w:val="24"/>
          <w:szCs w:val="24"/>
        </w:rPr>
        <w:t xml:space="preserve">Decisions recorded so that future sessions do not relitigate them. Enumeration-revealing login errors are rejected outright: the generic message is standard practice (Google and GitHub behave the same) and changing it would create an account-enumeration attack vector. Password reset email delivery is parked until the Phase 4 provider decision; phone OTP is parked to Phase 5 or 6; and a general data-import feature beyond CGM is deferred until the Phase 5 trends work shows what import formats actually matter.</w:t>
      </w:r>
    </w:p>
    <w:p>
      <w:pPr>
        <w:pStyle w:val="Heading1"/>
        <w:keepNext/>
        <w:spacing w:after="160" w:before="360" w:line="312"/>
        <w:jc w:val="center"/>
      </w:pPr>
      <w:bookmarkStart w:name="_Toc21" w:id="21"/>
      <w:r>
        <w:rPr>
          <w:rFonts w:ascii="Times New Roman" w:eastAsia="SimHei"/>
          <w:b/>
          <w:bCs/>
          <w:color w:val="1A2330"/>
          <w:sz w:val="32"/>
          <w:szCs w:val="32"/>
        </w:rPr>
        <w:t xml:space="preserve">6. Deployment and Roadmap Update Protocol</w:t>
      </w:r>
      <w:bookmarkEnd w:id="21"/>
    </w:p>
    <w:p>
      <w:pPr>
        <w:pStyle w:val="Heading2"/>
        <w:keepNext/>
        <w:spacing w:after="120" w:before="240" w:line="312"/>
        <w:jc w:val="left"/>
      </w:pPr>
      <w:bookmarkStart w:name="_Toc22" w:id="22"/>
      <w:r>
        <w:rPr>
          <w:rFonts w:ascii="Times New Roman" w:eastAsia="SimHei"/>
          <w:b/>
          <w:bCs/>
          <w:color w:val="1A2330"/>
          <w:sz w:val="30"/>
          <w:szCs w:val="30"/>
        </w:rPr>
        <w:t xml:space="preserve">6.1 Per-Deployment Checklist</w:t>
      </w:r>
      <w:bookmarkEnd w:id="22"/>
    </w:p>
    <w:p>
      <w:pPr>
        <w:keepNext/>
        <w:spacing w:after="80" w:before="0" w:line="312"/>
        <w:jc w:val="left"/>
      </w:pPr>
      <w:r>
        <w:rPr>
          <w:rFonts w:ascii="Times New Roman" w:eastAsia="SimSun"/>
          <w:color w:val="000000"/>
          <w:sz w:val="24"/>
          <w:szCs w:val="24"/>
        </w:rPr>
        <w:t xml:space="preserve">Every deployment, whether a fix or a feature, follows the same six steps. The checklist keeps the pipeline deterministic and keeps this document synchronized with production.</w:t>
      </w:r>
    </w:p>
    <w:p>
      <w:pPr>
        <w:pStyle w:val="ListParagraph"/>
        <w:numPr>
          <w:ilvl w:val="0"/>
          <w:numId w:val="7"/>
        </w:numPr>
        <w:spacing w:after="60" w:line="312"/>
        <w:jc w:val="left"/>
      </w:pPr>
      <w:r>
        <w:rPr>
          <w:rFonts w:ascii="Times New Roman" w:eastAsia="SimSun"/>
          <w:b/>
          <w:bCs/>
          <w:color w:val="000000"/>
          <w:sz w:val="24"/>
          <w:szCs w:val="24"/>
        </w:rPr>
        <w:t xml:space="preserve">Build and ship. </w:t>
      </w:r>
      <w:r>
        <w:rPr>
          <w:rFonts w:ascii="Times New Roman" w:eastAsia="SimSun"/>
          <w:b w:val="false"/>
          <w:bCs w:val="false"/>
          <w:color w:val="000000"/>
          <w:sz w:val="24"/>
          <w:szCs w:val="24"/>
        </w:rPr>
        <w:t xml:space="preserve">Apply changes locally, then from the repo root run vercel deploy --prod --yes (the proven pipeline). Git pushes to main also auto-deploy; after either path, confirm the new deployment is Ready and holds the canonical alias.</w:t>
      </w:r>
    </w:p>
    <w:p>
      <w:pPr>
        <w:pStyle w:val="ListParagraph"/>
        <w:numPr>
          <w:ilvl w:val="0"/>
          <w:numId w:val="7"/>
        </w:numPr>
        <w:spacing w:after="60" w:line="312"/>
        <w:jc w:val="left"/>
      </w:pPr>
      <w:r>
        <w:rPr>
          <w:rFonts w:ascii="Times New Roman" w:eastAsia="SimSun"/>
          <w:b/>
          <w:bCs/>
          <w:color w:val="000000"/>
          <w:sz w:val="24"/>
          <w:szCs w:val="24"/>
        </w:rPr>
        <w:t xml:space="preserve">Probe. </w:t>
      </w:r>
      <w:r>
        <w:rPr>
          <w:rFonts w:ascii="Times New Roman" w:eastAsia="SimSun"/>
          <w:b w:val="false"/>
          <w:bCs w:val="false"/>
          <w:color w:val="000000"/>
          <w:sz w:val="24"/>
          <w:szCs w:val="24"/>
        </w:rPr>
        <w:t xml:space="preserve">Run the section 6.2 probe block; all responses must be 200 or 304 (redirects to login are expected for auth-gated pages when unauthenticated).</w:t>
      </w:r>
    </w:p>
    <w:p>
      <w:pPr>
        <w:pStyle w:val="ListParagraph"/>
        <w:numPr>
          <w:ilvl w:val="0"/>
          <w:numId w:val="7"/>
        </w:numPr>
        <w:spacing w:after="60" w:line="312"/>
        <w:jc w:val="left"/>
      </w:pPr>
      <w:r>
        <w:rPr>
          <w:rFonts w:ascii="Times New Roman" w:eastAsia="SimSun"/>
          <w:b/>
          <w:bCs/>
          <w:color w:val="000000"/>
          <w:sz w:val="24"/>
          <w:szCs w:val="24"/>
        </w:rPr>
        <w:t xml:space="preserve">Smoke as a real user. </w:t>
      </w:r>
      <w:r>
        <w:rPr>
          <w:rFonts w:ascii="Times New Roman" w:eastAsia="SimSun"/>
          <w:b w:val="false"/>
          <w:bCs w:val="false"/>
          <w:color w:val="000000"/>
          <w:sz w:val="24"/>
          <w:szCs w:val="24"/>
        </w:rPr>
        <w:t xml:space="preserve">Log in as demo@metabolic.dev, open the dashboard, log, labs, and reports pages, confirm the changed feature works, then sign out.</w:t>
      </w:r>
    </w:p>
    <w:p>
      <w:pPr>
        <w:pStyle w:val="ListParagraph"/>
        <w:numPr>
          <w:ilvl w:val="0"/>
          <w:numId w:val="7"/>
        </w:numPr>
        <w:spacing w:after="60" w:line="312"/>
        <w:jc w:val="left"/>
      </w:pPr>
      <w:r>
        <w:rPr>
          <w:rFonts w:ascii="Times New Roman" w:eastAsia="SimSun"/>
          <w:b/>
          <w:bCs/>
          <w:color w:val="000000"/>
          <w:sz w:val="24"/>
          <w:szCs w:val="24"/>
        </w:rPr>
        <w:t xml:space="preserve">Regression. </w:t>
      </w:r>
      <w:r>
        <w:rPr>
          <w:rFonts w:ascii="Times New Roman" w:eastAsia="SimSun"/>
          <w:b w:val="false"/>
          <w:bCs w:val="false"/>
          <w:color w:val="000000"/>
          <w:sz w:val="24"/>
          <w:szCs w:val="24"/>
        </w:rPr>
        <w:t xml:space="preserve">Register a throwaway account, sign out, and sign back in. This is mandatory until KI-1 is fixed and is a permanent Smoke Test v2 step afterward.</w:t>
      </w:r>
    </w:p>
    <w:p>
      <w:pPr>
        <w:pStyle w:val="ListParagraph"/>
        <w:numPr>
          <w:ilvl w:val="0"/>
          <w:numId w:val="7"/>
        </w:numPr>
        <w:spacing w:after="60" w:line="312"/>
        <w:jc w:val="left"/>
      </w:pPr>
      <w:r>
        <w:rPr>
          <w:rFonts w:ascii="Times New Roman" w:eastAsia="SimSun"/>
          <w:b/>
          <w:bCs/>
          <w:color w:val="000000"/>
          <w:sz w:val="24"/>
          <w:szCs w:val="24"/>
        </w:rPr>
        <w:t xml:space="preserve">Update this roadmap. </w:t>
      </w:r>
      <w:r>
        <w:rPr>
          <w:rFonts w:ascii="Times New Roman" w:eastAsia="SimSun"/>
          <w:b w:val="false"/>
          <w:bCs w:val="false"/>
          <w:color w:val="000000"/>
          <w:sz w:val="24"/>
          <w:szCs w:val="24"/>
        </w:rPr>
        <w:t xml:space="preserve">Refresh the section 3, 4, and 5 statuses, bump the version, and append the changelog row in section 7.</w:t>
      </w:r>
    </w:p>
    <w:p>
      <w:pPr>
        <w:pStyle w:val="ListParagraph"/>
        <w:numPr>
          <w:ilvl w:val="0"/>
          <w:numId w:val="7"/>
        </w:numPr>
        <w:spacing w:after="120" w:line="312"/>
        <w:jc w:val="left"/>
      </w:pPr>
      <w:r>
        <w:rPr>
          <w:rFonts w:ascii="Times New Roman" w:eastAsia="SimSun"/>
          <w:b/>
          <w:bCs/>
          <w:color w:val="000000"/>
          <w:sz w:val="24"/>
          <w:szCs w:val="24"/>
        </w:rPr>
        <w:t xml:space="preserve">Commit. </w:t>
      </w:r>
      <w:r>
        <w:rPr>
          <w:rFonts w:ascii="Times New Roman" w:eastAsia="SimSun"/>
          <w:b w:val="false"/>
          <w:bCs w:val="false"/>
          <w:color w:val="000000"/>
          <w:sz w:val="24"/>
          <w:szCs w:val="24"/>
        </w:rPr>
        <w:t xml:space="preserve">Use docs: roadmap vN.N with a one-line deployment summary, keeping the single-commit discipline from P3-6 onward.</w:t>
      </w:r>
    </w:p>
    <w:p>
      <w:pPr>
        <w:pStyle w:val="Heading2"/>
        <w:keepNext/>
        <w:spacing w:after="120" w:before="240" w:line="312"/>
        <w:jc w:val="left"/>
      </w:pPr>
      <w:bookmarkStart w:name="_Toc23" w:id="23"/>
      <w:r>
        <w:rPr>
          <w:rFonts w:ascii="Times New Roman" w:eastAsia="SimHei"/>
          <w:b/>
          <w:bCs/>
          <w:color w:val="1A2330"/>
          <w:sz w:val="30"/>
          <w:szCs w:val="30"/>
        </w:rPr>
        <w:t xml:space="preserve">6.2 Probe Templates (PowerShell 5.1)</w:t>
      </w:r>
      <w:bookmarkEnd w:id="23"/>
    </w:p>
    <w:p>
      <w:pPr>
        <w:keepNext/>
        <w:spacing w:after="120" w:before="0" w:line="312"/>
        <w:jc w:val="left"/>
      </w:pPr>
      <w:r>
        <w:rPr>
          <w:rFonts w:ascii="Times New Roman" w:eastAsia="SimSun"/>
          <w:color w:val="000000"/>
          <w:sz w:val="24"/>
          <w:szCs w:val="24"/>
        </w:rPr>
        <w:t xml:space="preserve">Copy-paste blocks for the three standard verifications: a page probe, an API probe, and the read-only production database inspection. The TLS 1.2 prefix is mandatory in PowerShell 5.1.</w:t>
      </w:r>
    </w:p>
    <w:tbl>
      <w:tblPr>
        <w:tblW w:type="pct" w:w="5000"/>
        <w:tblBorders>
          <w:top w:val="single" w:color="E0D8CE" w:sz="1"/>
          <w:left w:val="single" w:color="E0D8CE" w:sz="1"/>
          <w:bottom w:val="single" w:color="E0D8CE" w:sz="1"/>
          <w:right w:val="single" w:color="E0D8CE" w:sz="1"/>
          <w:insideH w:val="none" w:color="FFFFFF" w:sz="0"/>
          <w:insideV w:val="none" w:color="FFFFFF" w:sz="0"/>
        </w:tblBorders>
        <w:tblLayout w:type="fixed"/>
      </w:tblPr>
      <w:tblGrid>
        <w:gridCol w:w="8788"/>
      </w:tblGrid>
      <w:tr>
        <w:trPr>
          <w:cantSplit/>
        </w:trPr>
        <w:tc>
          <w:tcPr>
            <w:tcW w:type="pct" w:w="5000"/>
            <w:shd w:fill="F7F3EE" w:val="clear"/>
            <w:tcMar>
              <w:top w:type="dxa" w:w="100"/>
              <w:left w:type="dxa" w:w="160"/>
              <w:bottom w:type="dxa" w:w="100"/>
              <w:right w:type="dxa" w:w="160"/>
            </w:tcMar>
          </w:tcPr>
          <w:p>
            <w:pPr>
              <w:spacing w:after="20" w:line="312"/>
              <w:jc w:val="left"/>
            </w:pPr>
            <w:r>
              <w:rPr>
                <w:rFonts w:ascii="Courier New" w:eastAsia="SimSun"/>
                <w:color w:val="333333"/>
                <w:sz w:val="18"/>
                <w:szCs w:val="18"/>
              </w:rPr>
              <w:t xml:space="preserve">[Net.ServicePointManager]::SecurityProtocol = [Net.SecurityProtocolType]::Tls12</w:t>
            </w:r>
          </w:p>
          <w:p>
            <w:pPr>
              <w:spacing w:after="0" w:line="312"/>
              <w:jc w:val="left"/>
            </w:pPr>
            <w:r>
              <w:rPr>
                <w:rFonts w:ascii="Courier New" w:eastAsia="SimSun"/>
                <w:color w:val="333333"/>
                <w:sz w:val="18"/>
                <w:szCs w:val="18"/>
              </w:rPr>
              <w:t xml:space="preserve">Invoke-WebRequest -Uri "https://metabolic-int-web.vercel.app/" -UseBasicParsing</w:t>
            </w:r>
          </w:p>
        </w:tc>
      </w:tr>
    </w:tbl>
    <w:p>
      <w:pPr>
        <w:keepNext/>
        <w:spacing w:after="120" w:before="120" w:line="312"/>
        <w:jc w:val="left"/>
      </w:pPr>
      <w:r>
        <w:rPr>
          <w:rFonts w:ascii="Times New Roman" w:eastAsia="SimSun"/>
          <w:color w:val="000000"/>
          <w:sz w:val="24"/>
          <w:szCs w:val="24"/>
        </w:rPr>
        <w:t xml:space="preserve">API probe (authenticated endpoints redirect to login when unauthenticated; a redirect or 200 confirms the route is alive):</w:t>
      </w:r>
    </w:p>
    <w:tbl>
      <w:tblPr>
        <w:tblW w:type="pct" w:w="5000"/>
        <w:tblBorders>
          <w:top w:val="single" w:color="E0D8CE" w:sz="1"/>
          <w:left w:val="single" w:color="E0D8CE" w:sz="1"/>
          <w:bottom w:val="single" w:color="E0D8CE" w:sz="1"/>
          <w:right w:val="single" w:color="E0D8CE" w:sz="1"/>
          <w:insideH w:val="none" w:color="FFFFFF" w:sz="0"/>
          <w:insideV w:val="none" w:color="FFFFFF" w:sz="0"/>
        </w:tblBorders>
        <w:tblLayout w:type="fixed"/>
      </w:tblPr>
      <w:tblGrid>
        <w:gridCol w:w="8788"/>
      </w:tblGrid>
      <w:tr>
        <w:trPr>
          <w:cantSplit/>
        </w:trPr>
        <w:tc>
          <w:tcPr>
            <w:tcW w:type="pct" w:w="5000"/>
            <w:shd w:fill="F7F3EE" w:val="clear"/>
            <w:tcMar>
              <w:top w:type="dxa" w:w="100"/>
              <w:left w:type="dxa" w:w="160"/>
              <w:bottom w:type="dxa" w:w="100"/>
              <w:right w:type="dxa" w:w="160"/>
            </w:tcMar>
          </w:tcPr>
          <w:p>
            <w:pPr>
              <w:spacing w:after="20" w:line="312"/>
              <w:jc w:val="left"/>
            </w:pPr>
            <w:r>
              <w:rPr>
                <w:rFonts w:ascii="Courier New" w:eastAsia="SimSun"/>
                <w:color w:val="333333"/>
                <w:sz w:val="18"/>
                <w:szCs w:val="18"/>
              </w:rPr>
              <w:t xml:space="preserve">[Net.ServicePointManager]::SecurityProtocol = [Net.SecurityProtocolType]::Tls12</w:t>
            </w:r>
          </w:p>
          <w:p>
            <w:pPr>
              <w:spacing w:after="0" w:line="312"/>
              <w:jc w:val="left"/>
            </w:pPr>
            <w:r>
              <w:rPr>
                <w:rFonts w:ascii="Courier New" w:eastAsia="SimSun"/>
                <w:color w:val="333333"/>
                <w:sz w:val="18"/>
                <w:szCs w:val="18"/>
              </w:rPr>
              <w:t xml:space="preserve">Invoke-WebRequest -Uri "https://metabolic-int-web.vercel.app/api/meals" -UseBasicParsing</w:t>
            </w:r>
          </w:p>
        </w:tc>
      </w:tr>
    </w:tbl>
    <w:p>
      <w:pPr>
        <w:keepNext/>
        <w:spacing w:after="120" w:before="120" w:line="312"/>
        <w:jc w:val="left"/>
      </w:pPr>
      <w:r>
        <w:rPr>
          <w:rFonts w:ascii="Times New Roman" w:eastAsia="SimSun"/>
          <w:color w:val="000000"/>
          <w:sz w:val="24"/>
          <w:szCs w:val="24"/>
        </w:rPr>
        <w:t xml:space="preserve">Read-only production database inspection, run from apps\web. The inspector refuses file: development URLs by design, so it can be pasted without hesitation:</w:t>
      </w:r>
    </w:p>
    <w:tbl>
      <w:tblPr>
        <w:tblW w:type="pct" w:w="5000"/>
        <w:tblBorders>
          <w:top w:val="single" w:color="E0D8CE" w:sz="1"/>
          <w:left w:val="single" w:color="E0D8CE" w:sz="1"/>
          <w:bottom w:val="single" w:color="E0D8CE" w:sz="1"/>
          <w:right w:val="single" w:color="E0D8CE" w:sz="1"/>
          <w:insideH w:val="none" w:color="FFFFFF" w:sz="0"/>
          <w:insideV w:val="none" w:color="FFFFFF" w:sz="0"/>
        </w:tblBorders>
        <w:tblLayout w:type="fixed"/>
      </w:tblPr>
      <w:tblGrid>
        <w:gridCol w:w="8788"/>
      </w:tblGrid>
      <w:tr>
        <w:trPr>
          <w:cantSplit/>
        </w:trPr>
        <w:tc>
          <w:tcPr>
            <w:tcW w:type="pct" w:w="5000"/>
            <w:shd w:fill="F7F3EE" w:val="clear"/>
            <w:tcMar>
              <w:top w:type="dxa" w:w="100"/>
              <w:left w:type="dxa" w:w="160"/>
              <w:bottom w:type="dxa" w:w="100"/>
              <w:right w:type="dxa" w:w="160"/>
            </w:tcMar>
          </w:tcPr>
          <w:p>
            <w:pPr>
              <w:spacing w:after="20" w:line="312"/>
              <w:jc w:val="left"/>
            </w:pPr>
            <w:r>
              <w:rPr>
                <w:rFonts w:ascii="Courier New" w:eastAsia="SimSun"/>
                <w:color w:val="333333"/>
                <w:sz w:val="18"/>
                <w:szCs w:val="18"/>
              </w:rPr>
              <w:t xml:space="preserve">Set-Location C:\Users\nikan\metabolicint\apps\web</w:t>
            </w:r>
          </w:p>
          <w:p>
            <w:pPr>
              <w:spacing w:after="0" w:line="312"/>
              <w:jc w:val="left"/>
            </w:pPr>
            <w:r>
              <w:rPr>
                <w:rFonts w:ascii="Courier New" w:eastAsia="SimSun"/>
                <w:color w:val="333333"/>
                <w:sz w:val="18"/>
                <w:szCs w:val="18"/>
              </w:rPr>
              <w:t xml:space="preserve">node .\inspect-users.js</w:t>
            </w:r>
          </w:p>
        </w:tc>
      </w:tr>
    </w:tbl>
    <w:p>
      <w:pPr>
        <w:pStyle w:val="Heading2"/>
        <w:keepNext/>
        <w:spacing w:after="120" w:before="240" w:line="312"/>
        <w:jc w:val="left"/>
      </w:pPr>
      <w:bookmarkStart w:name="_Toc24" w:id="24"/>
      <w:r>
        <w:rPr>
          <w:rFonts w:ascii="Times New Roman" w:eastAsia="SimHei"/>
          <w:b/>
          <w:bCs/>
          <w:color w:val="1A2330"/>
          <w:sz w:val="30"/>
          <w:szCs w:val="30"/>
        </w:rPr>
        <w:t xml:space="preserve">6.3 Versioning Rules</w:t>
      </w:r>
      <w:bookmarkEnd w:id="24"/>
    </w:p>
    <w:p>
      <w:pPr>
        <w:keepNext w:val="false"/>
        <w:spacing w:after="200" w:before="0" w:line="312"/>
        <w:jc w:val="left"/>
      </w:pPr>
      <w:r>
        <w:rPr>
          <w:rFonts w:ascii="Times New Roman" w:eastAsia="SimSun"/>
          <w:color w:val="000000"/>
          <w:sz w:val="24"/>
          <w:szCs w:val="24"/>
        </w:rPr>
        <w:t xml:space="preserve">Bump the minor version for routine deployments that change no scope, including status refreshes; bump the major version when a phase gate closes or new scope is added. Never rewrite history in this document: statuses change in place, and the changelog is append-only, mirroring the worklog discipline. The .docx snapshot is regenerated after major milestones; the markdown copy in docs\ROADMAP.md is the working master between regenerations.</w:t>
      </w:r>
    </w:p>
    <w:p>
      <w:pPr>
        <w:pStyle w:val="Heading1"/>
        <w:keepNext/>
        <w:spacing w:after="160" w:before="360" w:line="312"/>
        <w:jc w:val="center"/>
      </w:pPr>
      <w:bookmarkStart w:name="_Toc25" w:id="25"/>
      <w:r>
        <w:rPr>
          <w:rFonts w:ascii="Times New Roman" w:eastAsia="SimHei"/>
          <w:b/>
          <w:bCs/>
          <w:color w:val="1A2330"/>
          <w:sz w:val="32"/>
          <w:szCs w:val="32"/>
        </w:rPr>
        <w:t xml:space="preserve">7. Reference Index and Changelog</w:t>
      </w:r>
      <w:bookmarkEnd w:id="25"/>
    </w:p>
    <w:p>
      <w:pPr>
        <w:pStyle w:val="Heading2"/>
        <w:keepNext/>
        <w:spacing w:after="120" w:before="240" w:line="312"/>
        <w:jc w:val="left"/>
      </w:pPr>
      <w:bookmarkStart w:name="_Toc26" w:id="26"/>
      <w:r>
        <w:rPr>
          <w:rFonts w:ascii="Times New Roman" w:eastAsia="SimHei"/>
          <w:b/>
          <w:bCs/>
          <w:color w:val="1A2330"/>
          <w:sz w:val="30"/>
          <w:szCs w:val="30"/>
        </w:rPr>
        <w:t xml:space="preserve">7.1 Key References</w:t>
      </w:r>
      <w:bookmarkEnd w:id="26"/>
    </w:p>
    <w:p>
      <w:pPr>
        <w:keepNext/>
        <w:spacing w:after="120" w:before="0" w:line="312"/>
        <w:jc w:val="left"/>
      </w:pPr>
      <w:r>
        <w:rPr>
          <w:rFonts w:ascii="Times New Roman" w:eastAsia="SimSun"/>
          <w:color w:val="000000"/>
          <w:sz w:val="24"/>
          <w:szCs w:val="24"/>
        </w:rPr>
        <w:t xml:space="preserve">The artifacts below are the fixed points of the project. Locations are given relative to the local repository unless a filename is standalone.</w:t>
      </w:r>
    </w:p>
    <w:p>
      <w:pPr>
        <w:keepNext/>
        <w:spacing w:after="80" w:before="200" w:line="312"/>
        <w:jc w:val="left"/>
      </w:pPr>
      <w:r>
        <w:rPr>
          <w:rFonts w:ascii="Times New Roman" w:eastAsia="SimSun"/>
          <w:i/>
          <w:iCs/>
          <w:color w:val="666666"/>
          <w:sz w:val="20"/>
          <w:szCs w:val="20"/>
        </w:rPr>
        <w:t xml:space="preserve">Table 6: Reference artifacts</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2461"/>
        <w:gridCol w:w="2812"/>
        <w:gridCol w:w="3515"/>
      </w:tblGrid>
      <w:tr>
        <w:trPr>
          <w:cantSplit/>
          <w:tblHeader/>
        </w:trPr>
        <w:tc>
          <w:tcPr>
            <w:tcW w:type="pct" w:w="14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Artifact</w:t>
            </w:r>
          </w:p>
        </w:tc>
        <w:tc>
          <w:tcPr>
            <w:tcW w:type="pct" w:w="16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Location</w:t>
            </w:r>
          </w:p>
        </w:tc>
        <w:tc>
          <w:tcPr>
            <w:tcW w:type="pct" w:w="20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Notes</w:t>
            </w:r>
          </w:p>
        </w:tc>
      </w:tr>
      <w:tr>
        <w:trPr>
          <w:cantSplit/>
        </w:trPr>
        <w:tc>
          <w:tcPr>
            <w:tcW w:type="pct" w:w="1400"/>
            <w:tcMar>
              <w:top w:type="dxa" w:w="60"/>
              <w:left w:type="dxa" w:w="120"/>
              <w:bottom w:type="dxa" w:w="60"/>
              <w:right w:type="dxa" w:w="120"/>
            </w:tcMar>
          </w:tcPr>
          <w:p>
            <w:pPr>
              <w:spacing w:line="312"/>
              <w:jc w:val="left"/>
            </w:pPr>
            <w:r>
              <w:rPr>
                <w:rFonts w:ascii="Times New Roman" w:eastAsia="SimSun"/>
                <w:color w:val="000000"/>
                <w:sz w:val="20"/>
                <w:szCs w:val="20"/>
              </w:rPr>
              <w:t xml:space="preserve">Phase-4 PRD (approved)</w:t>
            </w:r>
          </w:p>
        </w:tc>
        <w:tc>
          <w:tcPr>
            <w:tcW w:type="pct" w:w="1600"/>
            <w:tcMar>
              <w:top w:type="dxa" w:w="60"/>
              <w:left w:type="dxa" w:w="120"/>
              <w:bottom w:type="dxa" w:w="60"/>
              <w:right w:type="dxa" w:w="120"/>
            </w:tcMar>
          </w:tcPr>
          <w:p>
            <w:pPr>
              <w:spacing w:line="312"/>
              <w:jc w:val="left"/>
            </w:pPr>
            <w:r>
              <w:rPr>
                <w:rFonts w:ascii="Times New Roman" w:eastAsia="SimSun"/>
                <w:color w:val="000000"/>
                <w:sz w:val="20"/>
                <w:szCs w:val="20"/>
              </w:rPr>
              <w:t xml:space="preserve">MetabolicInt-Phase4-PRD.pdf</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22 pages; 12 chapters plus 2 appendices; per-feature FR and AC; Smoke Test v2</w:t>
            </w:r>
          </w:p>
        </w:tc>
      </w:tr>
      <w:tr>
        <w:trPr>
          <w:cantSplit/>
        </w:trPr>
        <w:tc>
          <w:tcPr>
            <w:tcW w:type="pct" w:w="1400"/>
            <w:tcMar>
              <w:top w:type="dxa" w:w="60"/>
              <w:left w:type="dxa" w:w="120"/>
              <w:bottom w:type="dxa" w:w="60"/>
              <w:right w:type="dxa" w:w="120"/>
            </w:tcMar>
          </w:tcPr>
          <w:p>
            <w:pPr>
              <w:spacing w:line="312"/>
              <w:jc w:val="left"/>
            </w:pPr>
            <w:r>
              <w:rPr>
                <w:rFonts w:ascii="Times New Roman" w:eastAsia="SimSun"/>
                <w:color w:val="000000"/>
                <w:sz w:val="20"/>
                <w:szCs w:val="20"/>
              </w:rPr>
              <w:t xml:space="preserve">PRD cover source</w:t>
            </w:r>
          </w:p>
        </w:tc>
        <w:tc>
          <w:tcPr>
            <w:tcW w:type="pct" w:w="1600"/>
            <w:tcMar>
              <w:top w:type="dxa" w:w="60"/>
              <w:left w:type="dxa" w:w="120"/>
              <w:bottom w:type="dxa" w:w="60"/>
              <w:right w:type="dxa" w:w="120"/>
            </w:tcMar>
          </w:tcPr>
          <w:p>
            <w:pPr>
              <w:spacing w:line="312"/>
              <w:jc w:val="left"/>
            </w:pPr>
            <w:r>
              <w:rPr>
                <w:rFonts w:ascii="Times New Roman" w:eastAsia="SimSun"/>
                <w:color w:val="000000"/>
                <w:sz w:val="20"/>
                <w:szCs w:val="20"/>
              </w:rPr>
              <w:t xml:space="preserve">MetabolicInt-Phase4-PRD-cover.html</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Editable HTML cover</w:t>
            </w:r>
          </w:p>
        </w:tc>
      </w:tr>
      <w:tr>
        <w:trPr>
          <w:cantSplit/>
        </w:trPr>
        <w:tc>
          <w:tcPr>
            <w:tcW w:type="pct" w:w="1400"/>
            <w:tcMar>
              <w:top w:type="dxa" w:w="60"/>
              <w:left w:type="dxa" w:w="120"/>
              <w:bottom w:type="dxa" w:w="60"/>
              <w:right w:type="dxa" w:w="120"/>
            </w:tcMar>
          </w:tcPr>
          <w:p>
            <w:pPr>
              <w:spacing w:line="312"/>
              <w:jc w:val="left"/>
            </w:pPr>
            <w:r>
              <w:rPr>
                <w:rFonts w:ascii="Times New Roman" w:eastAsia="SimSun"/>
                <w:color w:val="000000"/>
                <w:sz w:val="20"/>
                <w:szCs w:val="20"/>
              </w:rPr>
              <w:t xml:space="preserve">Session worklog</w:t>
            </w:r>
          </w:p>
        </w:tc>
        <w:tc>
          <w:tcPr>
            <w:tcW w:type="pct" w:w="1600"/>
            <w:tcMar>
              <w:top w:type="dxa" w:w="60"/>
              <w:left w:type="dxa" w:w="120"/>
              <w:bottom w:type="dxa" w:w="60"/>
              <w:right w:type="dxa" w:w="120"/>
            </w:tcMar>
          </w:tcPr>
          <w:p>
            <w:pPr>
              <w:spacing w:line="312"/>
              <w:jc w:val="left"/>
            </w:pPr>
            <w:r>
              <w:rPr>
                <w:rFonts w:ascii="Times New Roman" w:eastAsia="SimSun"/>
                <w:color w:val="000000"/>
                <w:sz w:val="20"/>
                <w:szCs w:val="20"/>
              </w:rPr>
              <w:t xml:space="preserve">docs\phase3-worklog.md</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Append-only; one guarded entry per task ID</w:t>
            </w:r>
          </w:p>
        </w:tc>
      </w:tr>
      <w:tr>
        <w:trPr>
          <w:cantSplit/>
        </w:trPr>
        <w:tc>
          <w:tcPr>
            <w:tcW w:type="pct" w:w="1400"/>
            <w:tcMar>
              <w:top w:type="dxa" w:w="60"/>
              <w:left w:type="dxa" w:w="120"/>
              <w:bottom w:type="dxa" w:w="60"/>
              <w:right w:type="dxa" w:w="120"/>
            </w:tcMar>
          </w:tcPr>
          <w:p>
            <w:pPr>
              <w:spacing w:line="312"/>
              <w:jc w:val="left"/>
            </w:pPr>
            <w:r>
              <w:rPr>
                <w:rFonts w:ascii="Times New Roman" w:eastAsia="SimSun"/>
                <w:color w:val="000000"/>
                <w:sz w:val="20"/>
                <w:szCs w:val="20"/>
              </w:rPr>
              <w:t xml:space="preserve">Production DB inspector</w:t>
            </w:r>
          </w:p>
        </w:tc>
        <w:tc>
          <w:tcPr>
            <w:tcW w:type="pct" w:w="1600"/>
            <w:tcMar>
              <w:top w:type="dxa" w:w="60"/>
              <w:left w:type="dxa" w:w="120"/>
              <w:bottom w:type="dxa" w:w="60"/>
              <w:right w:type="dxa" w:w="120"/>
            </w:tcMar>
          </w:tcPr>
          <w:p>
            <w:pPr>
              <w:spacing w:line="312"/>
              <w:jc w:val="left"/>
            </w:pPr>
            <w:r>
              <w:rPr>
                <w:rFonts w:ascii="Times New Roman" w:eastAsia="SimSun"/>
                <w:color w:val="000000"/>
                <w:sz w:val="20"/>
                <w:szCs w:val="20"/>
              </w:rPr>
              <w:t xml:space="preserve">apps\web\inspect-users.js</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Read-only; refuses development file: URLs</w:t>
            </w:r>
          </w:p>
        </w:tc>
      </w:tr>
      <w:tr>
        <w:trPr>
          <w:cantSplit/>
        </w:trPr>
        <w:tc>
          <w:tcPr>
            <w:tcW w:type="pct" w:w="1400"/>
            <w:tcMar>
              <w:top w:type="dxa" w:w="60"/>
              <w:left w:type="dxa" w:w="120"/>
              <w:bottom w:type="dxa" w:w="60"/>
              <w:right w:type="dxa" w:w="120"/>
            </w:tcMar>
          </w:tcPr>
          <w:p>
            <w:pPr>
              <w:spacing w:line="312"/>
              <w:jc w:val="left"/>
            </w:pPr>
            <w:r>
              <w:rPr>
                <w:rFonts w:ascii="Times New Roman" w:eastAsia="SimSun"/>
                <w:color w:val="000000"/>
                <w:sz w:val="20"/>
                <w:szCs w:val="20"/>
              </w:rPr>
              <w:t xml:space="preserve">This roadmap (repo copy)</w:t>
            </w:r>
          </w:p>
        </w:tc>
        <w:tc>
          <w:tcPr>
            <w:tcW w:type="pct" w:w="1600"/>
            <w:tcMar>
              <w:top w:type="dxa" w:w="60"/>
              <w:left w:type="dxa" w:w="120"/>
              <w:bottom w:type="dxa" w:w="60"/>
              <w:right w:type="dxa" w:w="120"/>
            </w:tcMar>
          </w:tcPr>
          <w:p>
            <w:pPr>
              <w:spacing w:line="312"/>
              <w:jc w:val="left"/>
            </w:pPr>
            <w:r>
              <w:rPr>
                <w:rFonts w:ascii="Times New Roman" w:eastAsia="SimSun"/>
                <w:color w:val="000000"/>
                <w:sz w:val="20"/>
                <w:szCs w:val="20"/>
              </w:rPr>
              <w:t xml:space="preserve">docs\ROADMAP.md</w:t>
            </w:r>
          </w:p>
        </w:tc>
        <w:tc>
          <w:tcPr>
            <w:tcW w:type="pct" w:w="2000"/>
            <w:tcMar>
              <w:top w:type="dxa" w:w="60"/>
              <w:left w:type="dxa" w:w="120"/>
              <w:bottom w:type="dxa" w:w="60"/>
              <w:right w:type="dxa" w:w="120"/>
            </w:tcMar>
          </w:tcPr>
          <w:p>
            <w:pPr>
              <w:spacing w:line="312"/>
              <w:jc w:val="left"/>
            </w:pPr>
            <w:r>
              <w:rPr>
                <w:rFonts w:ascii="Times New Roman" w:eastAsia="SimSun"/>
                <w:color w:val="000000"/>
                <w:sz w:val="20"/>
                <w:szCs w:val="20"/>
              </w:rPr>
              <w:t xml:space="preserve">The living master; regenerate the .docx snapshot after major milestones</w:t>
            </w:r>
          </w:p>
        </w:tc>
      </w:tr>
    </w:tbl>
    <w:p>
      <w:pPr>
        <w:pStyle w:val="Heading2"/>
        <w:keepNext/>
        <w:spacing w:after="120" w:before="240" w:line="312"/>
        <w:jc w:val="left"/>
      </w:pPr>
      <w:bookmarkStart w:name="_Toc27" w:id="27"/>
      <w:r>
        <w:rPr>
          <w:rFonts w:ascii="Times New Roman" w:eastAsia="SimHei"/>
          <w:b/>
          <w:bCs/>
          <w:color w:val="1A2330"/>
          <w:sz w:val="30"/>
          <w:szCs w:val="30"/>
        </w:rPr>
        <w:t xml:space="preserve">7.2 Changelog</w:t>
      </w:r>
      <w:bookmarkEnd w:id="27"/>
    </w:p>
    <w:p>
      <w:pPr>
        <w:keepNext/>
        <w:spacing w:after="120" w:before="0" w:line="312"/>
        <w:jc w:val="left"/>
      </w:pPr>
      <w:r>
        <w:rPr>
          <w:rFonts w:ascii="Times New Roman" w:eastAsia="SimSun"/>
          <w:color w:val="000000"/>
          <w:sz w:val="24"/>
          <w:szCs w:val="24"/>
        </w:rPr>
        <w:t xml:space="preserve">One row per deployment or scope change, append-only. The version in the header of this document must always match the newest row.</w:t>
      </w:r>
    </w:p>
    <w:p>
      <w:pPr>
        <w:keepNext/>
        <w:spacing w:after="80" w:before="200" w:line="312"/>
        <w:jc w:val="left"/>
      </w:pPr>
      <w:r>
        <w:rPr>
          <w:rFonts w:ascii="Times New Roman" w:eastAsia="SimSun"/>
          <w:i/>
          <w:iCs/>
          <w:color w:val="666666"/>
          <w:sz w:val="20"/>
          <w:szCs w:val="20"/>
        </w:rPr>
        <w:t xml:space="preserve">Table 7: Changelog</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879"/>
        <w:gridCol w:w="1230"/>
        <w:gridCol w:w="3867"/>
        <w:gridCol w:w="2812"/>
      </w:tblGrid>
      <w:tr>
        <w:trPr>
          <w:cantSplit/>
          <w:tblHeader/>
        </w:trPr>
        <w:tc>
          <w:tcPr>
            <w:tcW w:type="pct" w:w="5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Version</w:t>
            </w:r>
          </w:p>
        </w:tc>
        <w:tc>
          <w:tcPr>
            <w:tcW w:type="pct" w:w="7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Date</w:t>
            </w:r>
          </w:p>
        </w:tc>
        <w:tc>
          <w:tcPr>
            <w:tcW w:type="pct" w:w="22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Deployment / Change</w:t>
            </w:r>
          </w:p>
        </w:tc>
        <w:tc>
          <w:tcPr>
            <w:tcW w:type="pct" w:w="1600"/>
            <w:shd w:fill="D4875A" w:val="clear"/>
            <w:tcMar>
              <w:top w:type="dxa" w:w="60"/>
              <w:left w:type="dxa" w:w="120"/>
              <w:bottom w:type="dxa" w:w="60"/>
              <w:right w:type="dxa" w:w="120"/>
            </w:tcMar>
          </w:tcPr>
          <w:p>
            <w:pPr>
              <w:spacing w:line="312"/>
              <w:jc w:val="left"/>
            </w:pPr>
            <w:r>
              <w:rPr>
                <w:rFonts w:ascii="Times New Roman" w:eastAsia="SimSun"/>
                <w:b/>
                <w:bCs/>
                <w:color w:val="FFFFFF"/>
                <w:sz w:val="20"/>
                <w:szCs w:val="20"/>
              </w:rPr>
              <w:t xml:space="preserve">Notes</w:t>
            </w:r>
          </w:p>
        </w:tc>
      </w:tr>
      <w:tr>
        <w:trPr>
          <w:cantSplit/>
        </w:trPr>
        <w:tc>
          <w:tcPr>
            <w:tcW w:type="pct" w:w="500"/>
            <w:tcMar>
              <w:top w:type="dxa" w:w="60"/>
              <w:left w:type="dxa" w:w="120"/>
              <w:bottom w:type="dxa" w:w="60"/>
              <w:right w:type="dxa" w:w="120"/>
            </w:tcMar>
          </w:tcPr>
          <w:p>
            <w:pPr>
              <w:spacing w:line="312"/>
              <w:jc w:val="left"/>
            </w:pPr>
            <w:r>
              <w:rPr>
                <w:rFonts w:ascii="Times New Roman" w:eastAsia="SimSun"/>
                <w:color w:val="000000"/>
                <w:sz w:val="20"/>
                <w:szCs w:val="20"/>
              </w:rPr>
              <w:t xml:space="preserve">1.0</w:t>
            </w:r>
          </w:p>
        </w:tc>
        <w:tc>
          <w:tcPr>
            <w:tcW w:type="pct" w:w="700"/>
            <w:tcMar>
              <w:top w:type="dxa" w:w="60"/>
              <w:left w:type="dxa" w:w="120"/>
              <w:bottom w:type="dxa" w:w="60"/>
              <w:right w:type="dxa" w:w="120"/>
            </w:tcMar>
          </w:tcPr>
          <w:p>
            <w:pPr>
              <w:spacing w:line="312"/>
              <w:jc w:val="left"/>
            </w:pPr>
            <w:r>
              <w:rPr>
                <w:rFonts w:ascii="Times New Roman" w:eastAsia="SimSun"/>
                <w:color w:val="000000"/>
                <w:sz w:val="20"/>
                <w:szCs w:val="20"/>
              </w:rPr>
              <w:t xml:space="preserve">2026-10-22</w:t>
            </w:r>
          </w:p>
        </w:tc>
        <w:tc>
          <w:tcPr>
            <w:tcW w:type="pct" w:w="2200"/>
            <w:tcMar>
              <w:top w:type="dxa" w:w="60"/>
              <w:left w:type="dxa" w:w="120"/>
              <w:bottom w:type="dxa" w:w="60"/>
              <w:right w:type="dxa" w:w="120"/>
            </w:tcMar>
          </w:tcPr>
          <w:p>
            <w:pPr>
              <w:spacing w:line="312"/>
              <w:jc w:val="left"/>
            </w:pPr>
            <w:r>
              <w:rPr>
                <w:rFonts w:ascii="Times New Roman" w:eastAsia="SimSun"/>
                <w:color w:val="000000"/>
                <w:sz w:val="20"/>
                <w:szCs w:val="20"/>
              </w:rPr>
              <w:t xml:space="preserve">Phase 3 production deployment verified; Phase-4 PRD approved</w:t>
            </w:r>
          </w:p>
        </w:tc>
        <w:tc>
          <w:tcPr>
            <w:tcW w:type="pct" w:w="1600"/>
            <w:tcMar>
              <w:top w:type="dxa" w:w="60"/>
              <w:left w:type="dxa" w:w="120"/>
              <w:bottom w:type="dxa" w:w="60"/>
              <w:right w:type="dxa" w:w="120"/>
            </w:tcMar>
          </w:tcPr>
          <w:p>
            <w:pPr>
              <w:spacing w:line="312"/>
              <w:jc w:val="left"/>
            </w:pPr>
            <w:r>
              <w:rPr>
                <w:rFonts w:ascii="Times New Roman" w:eastAsia="SimSun"/>
                <w:color w:val="000000"/>
                <w:sz w:val="20"/>
                <w:szCs w:val="20"/>
              </w:rPr>
              <w:t xml:space="preserve">Initial issue. Open: KI-1, P3-5 remainder, P3-6 gate</w:t>
            </w:r>
          </w:p>
        </w:tc>
      </w:tr>
    </w:tbl>
    <w:p>
      <w:pPr>
        <w:keepNext w:val="false"/>
        <w:spacing w:after="0" w:before="0" w:line="312"/>
        <w:jc w:val="left"/>
      </w:pPr>
      <w:r>
        <w:rPr>
          <w:rFonts w:ascii="Times New Roman" w:eastAsia="SimSun"/>
          <w:color w:val="000000"/>
          <w:sz w:val="24"/>
          <w:szCs w:val="24"/>
        </w:rPr>
        <w:t xml:space="preserve">The next changelog row is expected to record the KI-1 login fix and the closure of the P3-6 phase gate, which together clear the path to the Phase 4 build session.</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eastAsia="SimSun"/>
        <w:color w:val="808080"/>
        <w:sz w:val="18"/>
        <w:szCs w:val="18"/>
      </w:rPr>
      <w:t xml:space="preserve">MetabolicInt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A23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A2330"/>
      <w:sz w:val="30"/>
      <w:szCs w:val="30"/>
    </w:rPr>
  </w:style>
  <w:style w:type="paragraph" w:styleId="Heading3">
    <w:name w:val="Heading 3"/>
    <w:basedOn w:val="Normal"/>
    <w:next w:val="Normal"/>
    <w:qFormat/>
    <w:pPr>
      <w:spacing w:after="100" w:before="200" w:line="312"/>
      <w:outlineLvl w:val="2"/>
    </w:pPr>
    <w:rPr>
      <w:rFonts w:ascii="Times New Roman" w:eastAsia="SimHei"/>
      <w:b/>
      <w:bCs/>
      <w:color w:val="1A233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MetabolicInt Roadmap v1.0</dc:title>
  <dc:creator>Vignan Guild</dc:creator>
  <dc:description>Living product and deployment roadmap for MetabolicInt</dc:description>
  <cp:lastModifiedBy>Un-named</cp:lastModifiedBy>
  <cp:revision>1</cp:revision>
  <dcterms:created xsi:type="dcterms:W3CDTF">2026-10-22T09:07:27.854Z</dcterms:created>
  <dcterms:modified xsi:type="dcterms:W3CDTF">2026-10-22T09:07:27.855Z</dcterms:modified>
</cp:coreProperties>
</file>

<file path=docProps/custom.xml><?xml version="1.0" encoding="utf-8"?>
<Properties xmlns="http://schemas.openxmlformats.org/officeDocument/2006/custom-properties" xmlns:vt="http://schemas.openxmlformats.org/officeDocument/2006/docPropsVTypes"/>
</file>