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08C6E"/>
          <w:sz w:val="56"/>
        </w:rPr>
        <w:t>VJs Structural Levels Pro V1</w:t>
      </w:r>
    </w:p>
    <w:p>
      <w:pPr>
        <w:jc w:val="center"/>
      </w:pPr>
      <w:r>
        <w:rPr>
          <w:color w:val="555555"/>
          <w:sz w:val="32"/>
        </w:rPr>
        <w:t>Complete Documentation</w:t>
      </w:r>
    </w:p>
    <w:p>
      <w:pPr>
        <w:spacing w:before="800"/>
        <w:jc w:val="center"/>
      </w:pPr>
      <w:r>
        <w:rPr>
          <w:color w:val="888888"/>
          <w:sz w:val="24"/>
        </w:rPr>
        <w:t>TradingView Pine Script Indicator</w:t>
        <w:br/>
        <w:t>NSE Cash Market — Scalp &amp; Positional Trading</w:t>
      </w:r>
    </w:p>
    <w:p>
      <w:pPr>
        <w:spacing w:before="1200"/>
        <w:jc w:val="center"/>
      </w:pPr>
      <w:r>
        <w:rPr>
          <w:i/>
          <w:sz w:val="22"/>
        </w:rPr>
        <w:t>Version 1.0 — June 2026</w:t>
      </w:r>
    </w:p>
    <w:p>
      <w:r>
        <w:br w:type="page"/>
      </w:r>
    </w:p>
    <w:p>
      <w:pPr>
        <w:pStyle w:val="Heading1"/>
      </w:pPr>
      <w:r>
        <w:t>Table of Contents</w:t>
      </w:r>
    </w:p>
    <w:p>
      <w:pPr>
        <w:spacing w:after="40"/>
      </w:pPr>
      <w:r>
        <w:t>1. Overview</w:t>
      </w:r>
    </w:p>
    <w:p>
      <w:pPr>
        <w:spacing w:after="40"/>
      </w:pPr>
      <w:r>
        <w:t>2. Core Philosophy</w:t>
      </w:r>
    </w:p>
    <w:p>
      <w:pPr>
        <w:spacing w:after="40"/>
      </w:pPr>
      <w:r>
        <w:t>3. Section-by-Section Breakdown</w:t>
      </w:r>
    </w:p>
    <w:p>
      <w:pPr>
        <w:spacing w:after="40"/>
      </w:pPr>
      <w:r>
        <w:t xml:space="preserve">    3.1 Heikin Ashi Source</w:t>
      </w:r>
    </w:p>
    <w:p>
      <w:pPr>
        <w:spacing w:after="40"/>
      </w:pPr>
      <w:r>
        <w:t xml:space="preserve">    3.2 Previous Day Data &amp; Pivot Calculation</w:t>
      </w:r>
    </w:p>
    <w:p>
      <w:pPr>
        <w:spacing w:after="40"/>
      </w:pPr>
      <w:r>
        <w:t xml:space="preserve">    3.3 Structural Levels</w:t>
      </w:r>
    </w:p>
    <w:p>
      <w:pPr>
        <w:spacing w:after="40"/>
      </w:pPr>
      <w:r>
        <w:t xml:space="preserve">    3.4 Trend Filters</w:t>
      </w:r>
    </w:p>
    <w:p>
      <w:pPr>
        <w:spacing w:after="40"/>
      </w:pPr>
      <w:r>
        <w:t xml:space="preserve">    3.5 Reversal Logic</w:t>
      </w:r>
    </w:p>
    <w:p>
      <w:pPr>
        <w:spacing w:after="40"/>
      </w:pPr>
      <w:r>
        <w:t xml:space="preserve">    3.6 Breakout / Breakdown Logic</w:t>
      </w:r>
    </w:p>
    <w:p>
      <w:pPr>
        <w:spacing w:after="40"/>
      </w:pPr>
      <w:r>
        <w:t xml:space="preserve">    3.7 One-Signal-Per-Trend Mechanism</w:t>
      </w:r>
    </w:p>
    <w:p>
      <w:pPr>
        <w:spacing w:after="40"/>
      </w:pPr>
      <w:r>
        <w:t xml:space="preserve">    3.8 RSI Extreme Exits</w:t>
      </w:r>
    </w:p>
    <w:p>
      <w:pPr>
        <w:spacing w:after="40"/>
      </w:pPr>
      <w:r>
        <w:t xml:space="preserve">    3.9 Moving Averages</w:t>
      </w:r>
    </w:p>
    <w:p>
      <w:pPr>
        <w:spacing w:after="40"/>
      </w:pPr>
      <w:r>
        <w:t xml:space="preserve">    3.10 Visual-Only Sections</w:t>
      </w:r>
    </w:p>
    <w:p>
      <w:pPr>
        <w:spacing w:after="40"/>
      </w:pPr>
      <w:r>
        <w:t xml:space="preserve">    3.11 Structural Level Lines</w:t>
      </w:r>
    </w:p>
    <w:p>
      <w:pPr>
        <w:spacing w:after="40"/>
      </w:pPr>
      <w:r>
        <w:t xml:space="preserve">    3.12 Right-Side Level Labels</w:t>
      </w:r>
    </w:p>
    <w:p>
      <w:pPr>
        <w:spacing w:after="40"/>
      </w:pPr>
      <w:r>
        <w:t xml:space="preserve">    3.13 Dashboard Table</w:t>
      </w:r>
    </w:p>
    <w:p>
      <w:pPr>
        <w:spacing w:after="40"/>
      </w:pPr>
      <w:r>
        <w:t xml:space="preserve">    3.14 Alert Conditions</w:t>
      </w:r>
    </w:p>
    <w:p>
      <w:pPr>
        <w:spacing w:after="40"/>
      </w:pPr>
      <w:r>
        <w:t>4. Signal Matrix Summary</w:t>
      </w:r>
    </w:p>
    <w:p>
      <w:pPr>
        <w:spacing w:after="40"/>
      </w:pPr>
      <w:r>
        <w:t>5. Trading Guidelines</w:t>
      </w:r>
    </w:p>
    <w:p>
      <w:pPr>
        <w:spacing w:after="40"/>
      </w:pPr>
      <w:r>
        <w:t>6. Parameter Reference</w:t>
      </w:r>
    </w:p>
    <w:p>
      <w:pPr>
        <w:spacing w:after="40"/>
      </w:pPr>
      <w:r>
        <w:t>7. Disclaimer</w:t>
      </w:r>
    </w:p>
    <w:p>
      <w:r>
        <w:br w:type="page"/>
      </w:r>
    </w:p>
    <w:p>
      <w:pPr>
        <w:pStyle w:val="Heading1"/>
      </w:pPr>
      <w:r>
        <w:t>1. Overview</w:t>
      </w:r>
    </w:p>
    <w:p>
      <w:r>
        <w:t>VJs Structural Levels Pro V1 is a Pine Script indicator for TradingView that identifies high-probability intraday trade setups based on structural price levels derived from the previous day's price action. It combines daily pivot/ATR levels with Heikin Ashi smoothing, ADX/DMI trend filtering, and VWAP confirmation to generate actionable BUY and SELL signals across reversal and breakout/breakdown strategies.</w:t>
      </w:r>
    </w:p>
    <w:p>
      <w:r>
        <w:t>The indicator is designed for NSE cash market trading and supports both scalp (ATR-based targets 1 &amp; 2) and positional (fixed profit target) approaches within a single framework.</w:t>
      </w:r>
    </w:p>
    <w:p>
      <w:pPr>
        <w:pStyle w:val="Heading1"/>
      </w:pPr>
      <w:r>
        <w:t>2. Core Philosophy</w:t>
      </w:r>
    </w:p>
    <w:p>
      <w:r>
        <w:t>The indicator operates on a multi-timeframe confluence model:</w:t>
      </w:r>
    </w:p>
    <w:p>
      <w:pPr>
        <w:pStyle w:val="ListNumber"/>
      </w:pPr>
      <w:r>
        <w:t>1. Daily timeframe establishes the structural framework — pivot point, ATR-based support/resistance levels, and the broader trend context.</w:t>
      </w:r>
    </w:p>
    <w:p>
      <w:pPr>
        <w:pStyle w:val="ListNumber"/>
      </w:pPr>
      <w:r>
        <w:t>2. Intraday (current timeframe) executes the entry logic using Heikin Ashi candles for noise reduction and ADX/DMI for trend strength validation.</w:t>
      </w:r>
    </w:p>
    <w:p>
      <w:pPr>
        <w:pStyle w:val="ListNumber"/>
      </w:pPr>
      <w:r>
        <w:t>3. Signals are generated at the intersection of level-touch events and confirmed trend conditions.</w:t>
      </w:r>
    </w:p>
    <w:p>
      <w:r>
        <w:t>No single component drives the signal — success comes from the confluence of structural levels, trend filter, and volatility context working together.</w:t>
      </w:r>
    </w:p>
    <w:p>
      <w:pPr>
        <w:pStyle w:val="Heading1"/>
      </w:pPr>
      <w:r>
        <w:t>3. Section-by-Section Breakdown</w:t>
      </w:r>
    </w:p>
    <w:p>
      <w:pPr>
        <w:pStyle w:val="Heading2"/>
      </w:pPr>
      <w:r>
        <w:t>3.1 Heikin Ashi Source</w:t>
      </w:r>
    </w:p>
    <w:p>
      <w:pPr>
        <w:spacing w:before="80" w:after="80"/>
        <w:shd w:val="clear" w:color="auto" w:fill="F0F0F5"/>
      </w:pPr>
      <w:r>
        <w:rPr>
          <w:rFonts w:ascii="Consolas" w:hAnsi="Consolas"/>
          <w:color w:val="1A1A2E"/>
          <w:sz w:val="18"/>
        </w:rPr>
        <w:t>haTicker = ticker.heikinashi(syminfo.tickerid)</w:t>
        <w:br/>
        <w:t>haClose = request.security(haTicker, timeframe.period, close)</w:t>
        <w:br/>
        <w:t>haHigh  = request.security(haTicker, timeframe.period, high)</w:t>
        <w:br/>
        <w:t>haLow   = request.security(haTicker, timeframe.period, low)</w:t>
      </w:r>
    </w:p>
    <w:p>
      <w:r>
        <w:t>All level interactions and crossover logic use Heikin Ashi candles rather than raw price. Heikin Ashi filters out minor price noise and provides cleaner signals for level tests. HA close is used for EMA calculations, SMA calculations, crossover detection, and level-touch checks throughout the indicator.</w:t>
      </w:r>
    </w:p>
    <w:p>
      <w:pPr>
        <w:pStyle w:val="Heading2"/>
      </w:pPr>
      <w:r>
        <w:t>3.2 Previous Day Data &amp; Pivot Calculation</w:t>
      </w:r>
    </w:p>
    <w:p>
      <w:pPr>
        <w:spacing w:before="80" w:after="80"/>
        <w:shd w:val="clear" w:color="auto" w:fill="F0F0F5"/>
      </w:pPr>
      <w:r>
        <w:rPr>
          <w:rFonts w:ascii="Consolas" w:hAnsi="Consolas"/>
          <w:color w:val="1A1A2E"/>
          <w:sz w:val="18"/>
        </w:rPr>
        <w:t>pdHigh  = request.security(syminfo.tickerid, "D", high[1], lookahead=barmerge.lookahead_on)</w:t>
        <w:br/>
        <w:t>pdLow   = request.security(syminfo.tickerid, "D", low[1], lookahead=barmerge.lookahead_on)</w:t>
        <w:br/>
        <w:t>pdClose = request.security(syminfo.tickerid, "D", close[1], lookahead=barmerge.lookahead_on)</w:t>
        <w:br/>
        <w:br/>
        <w:t>pivot = (pdHigh + pdLow + pdClose) / 3</w:t>
        <w:br/>
        <w:br/>
        <w:t>dailyATR = request.security(syminfo.tickerid, "D", ta.atr(14), lookahead=barmerge.lookahead_on)</w:t>
      </w:r>
    </w:p>
    <w:p>
      <w:r>
        <w:t>All daily values use the previous day's close ([1]) ensuring no intraday lookahead — the levels are fixed for the entire trading day based on data available before the market opened.</w:t>
      </w:r>
    </w:p>
    <w:p>
      <w:r>
        <w:t>Pivot Formula: (Previous Day High + Previous Day Low + Previous Day Close) / 3. This is the classic floor-trader pivot point representing the market's "fair price" from the prior session.</w:t>
      </w:r>
    </w:p>
    <w:p>
      <w:pPr>
        <w:pStyle w:val="Heading2"/>
      </w:pPr>
      <w:r>
        <w:t>3.3 Structural Levels</w:t>
      </w:r>
    </w:p>
    <w:p>
      <w:pPr>
        <w:spacing w:before="80" w:after="80"/>
        <w:shd w:val="clear" w:color="auto" w:fill="F0F0F5"/>
      </w:pPr>
      <w:r>
        <w:rPr>
          <w:rFonts w:ascii="Consolas" w:hAnsi="Consolas"/>
          <w:color w:val="1A1A2E"/>
          <w:sz w:val="18"/>
        </w:rPr>
        <w:t>sellRev  = pivot + dailyATR * sellRevATR      // pivot + ATR * 0.29</w:t>
        <w:br/>
        <w:t>buyRev   = pivot - dailyATR * buyRevATR       // pivot - ATR * 0.21</w:t>
        <w:br/>
        <w:br/>
        <w:t>breakout = pivot + dailyATR * breakoutATR     // pivot + ATR * 0.54</w:t>
        <w:br/>
        <w:t>breakdown= pivot - dailyATR * breakdownATR    // pivot - ATR * 0.46</w:t>
        <w:br/>
        <w:br/>
        <w:t>targetUp1 = breakout + dailyATR * target1ATR  // breakout + ATR * 0.28</w:t>
        <w:br/>
        <w:t>targetUp2 = breakout + dailyATR * target2ATR  // breakout + ATR * 0.41</w:t>
        <w:br/>
        <w:br/>
        <w:t>targetDn1 = breakdown - dailyATR * target1ATR // breakdown - ATR * 0.28</w:t>
        <w:br/>
        <w:t>targetDn2 = breakdown - dailyATR * target2ATR // breakdown - ATR * 0.46</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Level</w:t>
            </w:r>
          </w:p>
        </w:tc>
        <w:tc>
          <w:tcPr>
            <w:tcW w:type="dxa" w:w="2880"/>
          </w:tcPr>
          <w:p>
            <w:pPr>
              <w:jc w:val="center"/>
            </w:pPr>
            <w:r>
              <w:rPr>
                <w:b/>
                <w:sz w:val="20"/>
              </w:rPr>
              <w:t>Multiplier</w:t>
            </w:r>
          </w:p>
        </w:tc>
        <w:tc>
          <w:tcPr>
            <w:tcW w:type="dxa" w:w="2880"/>
          </w:tcPr>
          <w:p>
            <w:pPr>
              <w:jc w:val="center"/>
            </w:pPr>
            <w:r>
              <w:rPr>
                <w:b/>
                <w:sz w:val="20"/>
              </w:rPr>
              <w:t>Purpose</w:t>
            </w:r>
          </w:p>
        </w:tc>
      </w:tr>
      <w:tr>
        <w:tc>
          <w:tcPr>
            <w:tcW w:type="dxa" w:w="2880"/>
          </w:tcPr>
          <w:p>
            <w:r>
              <w:rPr>
                <w:sz w:val="19"/>
              </w:rPr>
              <w:t>Target Up 2</w:t>
            </w:r>
          </w:p>
        </w:tc>
        <w:tc>
          <w:tcPr>
            <w:tcW w:type="dxa" w:w="2880"/>
          </w:tcPr>
          <w:p>
            <w:r>
              <w:rPr>
                <w:sz w:val="19"/>
              </w:rPr>
              <w:t>Pivot + ATR × 0.82</w:t>
            </w:r>
          </w:p>
        </w:tc>
        <w:tc>
          <w:tcPr>
            <w:tcW w:type="dxa" w:w="2880"/>
          </w:tcPr>
          <w:p>
            <w:r>
              <w:rPr>
                <w:sz w:val="19"/>
              </w:rPr>
              <w:t>Scalp profit target (aggressive)</w:t>
            </w:r>
          </w:p>
        </w:tc>
      </w:tr>
      <w:tr>
        <w:tc>
          <w:tcPr>
            <w:tcW w:type="dxa" w:w="2880"/>
          </w:tcPr>
          <w:p>
            <w:r>
              <w:rPr>
                <w:sz w:val="19"/>
              </w:rPr>
              <w:t>Target Up 1</w:t>
            </w:r>
          </w:p>
        </w:tc>
        <w:tc>
          <w:tcPr>
            <w:tcW w:type="dxa" w:w="2880"/>
          </w:tcPr>
          <w:p>
            <w:r>
              <w:rPr>
                <w:sz w:val="19"/>
              </w:rPr>
              <w:t>Pivot + ATR × 0.69</w:t>
            </w:r>
          </w:p>
        </w:tc>
        <w:tc>
          <w:tcPr>
            <w:tcW w:type="dxa" w:w="2880"/>
          </w:tcPr>
          <w:p>
            <w:r>
              <w:rPr>
                <w:sz w:val="19"/>
              </w:rPr>
              <w:t>Scalp profit target (conservative)</w:t>
            </w:r>
          </w:p>
        </w:tc>
      </w:tr>
      <w:tr>
        <w:tc>
          <w:tcPr>
            <w:tcW w:type="dxa" w:w="2880"/>
          </w:tcPr>
          <w:p>
            <w:r>
              <w:rPr>
                <w:sz w:val="19"/>
              </w:rPr>
              <w:t>Breakout</w:t>
            </w:r>
          </w:p>
        </w:tc>
        <w:tc>
          <w:tcPr>
            <w:tcW w:type="dxa" w:w="2880"/>
          </w:tcPr>
          <w:p>
            <w:r>
              <w:rPr>
                <w:sz w:val="19"/>
              </w:rPr>
              <w:t>Pivot + ATR × 0.54</w:t>
            </w:r>
          </w:p>
        </w:tc>
        <w:tc>
          <w:tcPr>
            <w:tcW w:type="dxa" w:w="2880"/>
          </w:tcPr>
          <w:p>
            <w:r>
              <w:rPr>
                <w:sz w:val="19"/>
              </w:rPr>
              <w:t>Bullish breakout trigger</w:t>
            </w:r>
          </w:p>
        </w:tc>
      </w:tr>
      <w:tr>
        <w:tc>
          <w:tcPr>
            <w:tcW w:type="dxa" w:w="2880"/>
          </w:tcPr>
          <w:p>
            <w:r>
              <w:rPr>
                <w:sz w:val="19"/>
              </w:rPr>
              <w:t>Sell Reversal</w:t>
            </w:r>
          </w:p>
        </w:tc>
        <w:tc>
          <w:tcPr>
            <w:tcW w:type="dxa" w:w="2880"/>
          </w:tcPr>
          <w:p>
            <w:r>
              <w:rPr>
                <w:sz w:val="19"/>
              </w:rPr>
              <w:t>Pivot + ATR × 0.29</w:t>
            </w:r>
          </w:p>
        </w:tc>
        <w:tc>
          <w:tcPr>
            <w:tcW w:type="dxa" w:w="2880"/>
          </w:tcPr>
          <w:p>
            <w:r>
              <w:rPr>
                <w:sz w:val="19"/>
              </w:rPr>
              <w:t>Bearish reversal zone</w:t>
            </w:r>
          </w:p>
        </w:tc>
      </w:tr>
      <w:tr>
        <w:tc>
          <w:tcPr>
            <w:tcW w:type="dxa" w:w="2880"/>
          </w:tcPr>
          <w:p>
            <w:r>
              <w:rPr>
                <w:sz w:val="19"/>
              </w:rPr>
              <w:t>Pivot</w:t>
            </w:r>
          </w:p>
        </w:tc>
        <w:tc>
          <w:tcPr>
            <w:tcW w:type="dxa" w:w="2880"/>
          </w:tcPr>
          <w:p>
            <w:r>
              <w:rPr>
                <w:sz w:val="19"/>
              </w:rPr>
              <w:t>(H+L+C)/3</w:t>
            </w:r>
          </w:p>
        </w:tc>
        <w:tc>
          <w:tcPr>
            <w:tcW w:type="dxa" w:w="2880"/>
          </w:tcPr>
          <w:p>
            <w:r>
              <w:rPr>
                <w:sz w:val="19"/>
              </w:rPr>
              <w:t>Central reference / fair value</w:t>
            </w:r>
          </w:p>
        </w:tc>
      </w:tr>
      <w:tr>
        <w:tc>
          <w:tcPr>
            <w:tcW w:type="dxa" w:w="2880"/>
          </w:tcPr>
          <w:p>
            <w:r>
              <w:rPr>
                <w:sz w:val="19"/>
              </w:rPr>
              <w:t>Buy Reversal</w:t>
            </w:r>
          </w:p>
        </w:tc>
        <w:tc>
          <w:tcPr>
            <w:tcW w:type="dxa" w:w="2880"/>
          </w:tcPr>
          <w:p>
            <w:r>
              <w:rPr>
                <w:sz w:val="19"/>
              </w:rPr>
              <w:t>Pivot − ATR × 0.21</w:t>
            </w:r>
          </w:p>
        </w:tc>
        <w:tc>
          <w:tcPr>
            <w:tcW w:type="dxa" w:w="2880"/>
          </w:tcPr>
          <w:p>
            <w:r>
              <w:rPr>
                <w:sz w:val="19"/>
              </w:rPr>
              <w:t>Bullish reversal zone</w:t>
            </w:r>
          </w:p>
        </w:tc>
      </w:tr>
      <w:tr>
        <w:tc>
          <w:tcPr>
            <w:tcW w:type="dxa" w:w="2880"/>
          </w:tcPr>
          <w:p>
            <w:r>
              <w:rPr>
                <w:sz w:val="19"/>
              </w:rPr>
              <w:t>Breakdown</w:t>
            </w:r>
          </w:p>
        </w:tc>
        <w:tc>
          <w:tcPr>
            <w:tcW w:type="dxa" w:w="2880"/>
          </w:tcPr>
          <w:p>
            <w:r>
              <w:rPr>
                <w:sz w:val="19"/>
              </w:rPr>
              <w:t>Pivot − ATR × 0.46</w:t>
            </w:r>
          </w:p>
        </w:tc>
        <w:tc>
          <w:tcPr>
            <w:tcW w:type="dxa" w:w="2880"/>
          </w:tcPr>
          <w:p>
            <w:r>
              <w:rPr>
                <w:sz w:val="19"/>
              </w:rPr>
              <w:t>Bearish breakdown trigger</w:t>
            </w:r>
          </w:p>
        </w:tc>
      </w:tr>
      <w:tr>
        <w:tc>
          <w:tcPr>
            <w:tcW w:type="dxa" w:w="2880"/>
          </w:tcPr>
          <w:p>
            <w:r>
              <w:rPr>
                <w:sz w:val="19"/>
              </w:rPr>
              <w:t>Target Down 1</w:t>
            </w:r>
          </w:p>
        </w:tc>
        <w:tc>
          <w:tcPr>
            <w:tcW w:type="dxa" w:w="2880"/>
          </w:tcPr>
          <w:p>
            <w:r>
              <w:rPr>
                <w:sz w:val="19"/>
              </w:rPr>
              <w:t>Breakdown − ATR × 0.28</w:t>
            </w:r>
          </w:p>
        </w:tc>
        <w:tc>
          <w:tcPr>
            <w:tcW w:type="dxa" w:w="2880"/>
          </w:tcPr>
          <w:p>
            <w:r>
              <w:rPr>
                <w:sz w:val="19"/>
              </w:rPr>
              <w:t>Scalp profit target (conservative)</w:t>
            </w:r>
          </w:p>
        </w:tc>
      </w:tr>
      <w:tr>
        <w:tc>
          <w:tcPr>
            <w:tcW w:type="dxa" w:w="2880"/>
          </w:tcPr>
          <w:p>
            <w:r>
              <w:rPr>
                <w:sz w:val="19"/>
              </w:rPr>
              <w:t>Target Down 2</w:t>
            </w:r>
          </w:p>
        </w:tc>
        <w:tc>
          <w:tcPr>
            <w:tcW w:type="dxa" w:w="2880"/>
          </w:tcPr>
          <w:p>
            <w:r>
              <w:rPr>
                <w:sz w:val="19"/>
              </w:rPr>
              <w:t>Breakdown − ATR × 0.46</w:t>
            </w:r>
          </w:p>
        </w:tc>
        <w:tc>
          <w:tcPr>
            <w:tcW w:type="dxa" w:w="2880"/>
          </w:tcPr>
          <w:p>
            <w:r>
              <w:rPr>
                <w:sz w:val="19"/>
              </w:rPr>
              <w:t>Scalp profit target (aggressive)</w:t>
            </w:r>
          </w:p>
        </w:tc>
      </w:tr>
    </w:tbl>
    <w:p/>
    <w:p>
      <w:r>
        <w:t>The multipliers are calibrated to capture typical intraday extension ranges observed in NSE stocks. The asymmetry between bullish and bearish multipliers accounts for the natural drift tendency of equities.</w:t>
      </w:r>
    </w:p>
    <w:p>
      <w:pPr>
        <w:pStyle w:val="Heading2"/>
      </w:pPr>
      <w:r>
        <w:t>3.4 Trend Filters</w:t>
      </w:r>
    </w:p>
    <w:p>
      <w:r>
        <w:t>EMA Cross (Fast/Slow):</w:t>
      </w:r>
    </w:p>
    <w:p>
      <w:pPr>
        <w:spacing w:before="80" w:after="80"/>
        <w:shd w:val="clear" w:color="auto" w:fill="F0F0F5"/>
      </w:pPr>
      <w:r>
        <w:rPr>
          <w:rFonts w:ascii="Consolas" w:hAnsi="Consolas"/>
          <w:color w:val="1A1A2E"/>
          <w:sz w:val="18"/>
        </w:rPr>
        <w:t>ema5  = ta.ema(haClose, emaFastLen)    // Default: 5</w:t>
        <w:br/>
        <w:t>ema20 = ta.ema(haClose, emaSlowLen)    // Default: 20</w:t>
      </w:r>
    </w:p>
    <w:p>
      <w:r>
        <w:t>SMA 50:</w:t>
      </w:r>
    </w:p>
    <w:p>
      <w:pPr>
        <w:spacing w:before="80" w:after="80"/>
        <w:shd w:val="clear" w:color="auto" w:fill="F0F0F5"/>
      </w:pPr>
      <w:r>
        <w:rPr>
          <w:rFonts w:ascii="Consolas" w:hAnsi="Consolas"/>
          <w:color w:val="1A1A2E"/>
          <w:sz w:val="18"/>
        </w:rPr>
        <w:t>sma50 = ta.sma(haClose, smaLen)        // Default: 50</w:t>
      </w:r>
    </w:p>
    <w:p>
      <w:r>
        <w:t>VWAP:</w:t>
      </w:r>
    </w:p>
    <w:p>
      <w:pPr>
        <w:spacing w:before="80" w:after="80"/>
        <w:shd w:val="clear" w:color="auto" w:fill="F0F0F5"/>
      </w:pPr>
      <w:r>
        <w:rPr>
          <w:rFonts w:ascii="Consolas" w:hAnsi="Consolas"/>
          <w:color w:val="1A1A2E"/>
          <w:sz w:val="18"/>
        </w:rPr>
        <w:t>vwapValue = ta.vwap(hlc3)</w:t>
      </w:r>
    </w:p>
    <w:p>
      <w:r>
        <w:t>ADX/DMI:</w:t>
      </w:r>
    </w:p>
    <w:p>
      <w:pPr>
        <w:spacing w:before="80" w:after="80"/>
        <w:shd w:val="clear" w:color="auto" w:fill="F0F0F5"/>
      </w:pPr>
      <w:r>
        <w:rPr>
          <w:rFonts w:ascii="Consolas" w:hAnsi="Consolas"/>
          <w:color w:val="1A1A2E"/>
          <w:sz w:val="18"/>
        </w:rPr>
        <w:t>[diplus, diminus, adx] = ta.dmi(adxLen, adxSmooth)</w:t>
      </w:r>
    </w:p>
    <w:p>
      <w:r>
        <w:t>Complete Trend Conditions:</w:t>
      </w:r>
    </w:p>
    <w:p>
      <w:pPr>
        <w:spacing w:before="80" w:after="80"/>
        <w:shd w:val="clear" w:color="auto" w:fill="F0F0F5"/>
      </w:pPr>
      <w:r>
        <w:rPr>
          <w:rFonts w:ascii="Consolas" w:hAnsi="Consolas"/>
          <w:color w:val="1A1A2E"/>
          <w:sz w:val="18"/>
        </w:rPr>
        <w:t>bullTrend = ema5 &gt; ema20 AND</w:t>
        <w:br/>
        <w:t xml:space="preserve">            close &gt; sma50 AND</w:t>
        <w:br/>
        <w:t xml:space="preserve">            diplus &gt; diminus AND</w:t>
        <w:br/>
        <w:t xml:space="preserve">            adx &gt; adxThresh AND</w:t>
        <w:br/>
        <w:t xml:space="preserve">            bullVWAP (if enabled)</w:t>
      </w:r>
    </w:p>
    <w:p>
      <w:r>
        <w:t>Key Design Decision: All conditions must be true simultaneously. This prevents marginal setups from generating signals and ensures only high-confluence trades are considered.</w:t>
      </w:r>
    </w:p>
    <w:p>
      <w:pPr>
        <w:pStyle w:val="Heading2"/>
      </w:pPr>
      <w:r>
        <w:t>3.5 Reversal Logic</w:t>
      </w:r>
    </w:p>
    <w:p>
      <w:r>
        <w:t>Touch Detection:</w:t>
      </w:r>
    </w:p>
    <w:p>
      <w:pPr>
        <w:spacing w:before="80" w:after="80"/>
        <w:shd w:val="clear" w:color="auto" w:fill="F0F0F5"/>
      </w:pPr>
      <w:r>
        <w:rPr>
          <w:rFonts w:ascii="Consolas" w:hAnsi="Consolas"/>
          <w:color w:val="1A1A2E"/>
          <w:sz w:val="18"/>
        </w:rPr>
        <w:t>buyTouch  = haClose &gt; buyRev</w:t>
        <w:br/>
        <w:t>sellTouch = haClose &lt; sellRev</w:t>
      </w:r>
    </w:p>
    <w:p>
      <w:r>
        <w:t>Signal Confirmation (BUY-R):</w:t>
      </w:r>
    </w:p>
    <w:p>
      <w:pPr>
        <w:spacing w:before="80" w:after="80"/>
        <w:shd w:val="clear" w:color="auto" w:fill="F0F0F5"/>
      </w:pPr>
      <w:r>
        <w:rPr>
          <w:rFonts w:ascii="Consolas" w:hAnsi="Consolas"/>
          <w:color w:val="1A1A2E"/>
          <w:sz w:val="18"/>
        </w:rPr>
        <w:t>buyRevSignal = rsi &lt; 80 AND haClose &gt; buyRev AND bullTrend</w:t>
      </w:r>
    </w:p>
    <w:p>
      <w:pPr>
        <w:pStyle w:val="ListBullet"/>
      </w:pPr>
      <w:r>
        <w:t xml:space="preserve">BUY-R (Buy Reversal): </w:t>
      </w:r>
    </w:p>
    <w:p>
      <w:r>
        <w:t>Triggered when Heikin Ashi close moves above the Buy Reversal level while the overall trend is bullish. This signals that a pullback to the reversal zone has found support, and price is resuming its uptrend. The RSI check (rsi &lt; 80) prevents entering when the market is already overextended.</w:t>
      </w:r>
    </w:p>
    <w:p>
      <w:r>
        <w:t>Signal Confirmation (SELL-R):</w:t>
      </w:r>
    </w:p>
    <w:p>
      <w:pPr>
        <w:spacing w:before="80" w:after="80"/>
        <w:shd w:val="clear" w:color="auto" w:fill="F0F0F5"/>
      </w:pPr>
      <w:r>
        <w:rPr>
          <w:rFonts w:ascii="Consolas" w:hAnsi="Consolas"/>
          <w:color w:val="1A1A2E"/>
          <w:sz w:val="18"/>
        </w:rPr>
        <w:t>sellRevSignal = rsi &gt; 20 AND haClose &lt; sellRev AND bearTrend</w:t>
      </w:r>
    </w:p>
    <w:p>
      <w:pPr>
        <w:pStyle w:val="ListBullet"/>
      </w:pPr>
      <w:r>
        <w:t xml:space="preserve">SELL-R (Sell Reversal): </w:t>
      </w:r>
    </w:p>
    <w:p>
      <w:r>
        <w:t>Triggered when HA close moves below the Sell Reversal level while the trend is bearish. Price has rallied into the resistance zone and reversed back down.</w:t>
      </w:r>
    </w:p>
    <w:p>
      <w:pPr>
        <w:pStyle w:val="Heading2"/>
      </w:pPr>
      <w:r>
        <w:t>3.6 Breakout / Breakdown Logic</w:t>
      </w:r>
    </w:p>
    <w:p>
      <w:pPr>
        <w:spacing w:before="80" w:after="80"/>
        <w:shd w:val="clear" w:color="auto" w:fill="F0F0F5"/>
      </w:pPr>
      <w:r>
        <w:rPr>
          <w:rFonts w:ascii="Consolas" w:hAnsi="Consolas"/>
          <w:color w:val="1A1A2E"/>
          <w:sz w:val="18"/>
        </w:rPr>
        <w:t>buyBreakoutSignal  = crossover(haClose, breakout) AND bullTrend</w:t>
        <w:br/>
        <w:t>sellBreakdownSignal = crossunder(haClose, breakdown) AND bearTrend</w:t>
      </w:r>
    </w:p>
    <w:p>
      <w:r>
        <w:t>BUY-B (Buy Breakout): HA close crosses above the Breakout level — price is breaking out of its expected daily range with strong bullish momentum.</w:t>
      </w:r>
    </w:p>
    <w:p>
      <w:r>
        <w:t>SELL-B (Sell Breakdown): HA close crosses below the Breakdown level — price is breaking down through support with strong bearish momentum.</w:t>
      </w:r>
    </w:p>
    <w:p>
      <w:pPr>
        <w:pStyle w:val="Heading2"/>
      </w:pPr>
      <w:r>
        <w:t>3.7 One-Signal-Per-Trend Mechanism</w:t>
      </w:r>
    </w:p>
    <w:p>
      <w:pPr>
        <w:spacing w:before="80" w:after="80"/>
        <w:shd w:val="clear" w:color="auto" w:fill="F0F0F5"/>
      </w:pPr>
      <w:r>
        <w:rPr>
          <w:rFonts w:ascii="Consolas" w:hAnsi="Consolas"/>
          <w:color w:val="1A1A2E"/>
          <w:sz w:val="18"/>
        </w:rPr>
        <w:t>var int trendState = 0</w:t>
        <w:br/>
        <w:br/>
        <w:t>finalBuyR = buyRevSignal and trendState != 1</w:t>
        <w:br/>
        <w:t>finalSellR = sellRevSignal and trendState != -1</w:t>
        <w:br/>
        <w:br/>
        <w:t>if finalBuyR or finalBuyB</w:t>
        <w:br/>
        <w:t xml:space="preserve">    trendState := 1</w:t>
        <w:br/>
        <w:t xml:space="preserve">    targetPoints = profitTargetRs / tradeQty</w:t>
        <w:br/>
        <w:t xml:space="preserve">    longTargetPrice := close + targetPoints</w:t>
      </w:r>
    </w:p>
    <w:p>
      <w:r>
        <w:t>Prevents multiple signals in the same direction. Once a BUY signal fires, the trendState locks to +1 and no further BUY signals are generated until a SELL signal resets it. The fixed profit target is calculated as / (lotSize × lots).</w:t>
      </w:r>
    </w:p>
    <w:p>
      <w:pPr>
        <w:pStyle w:val="Heading2"/>
      </w:pPr>
      <w:r>
        <w:t>3.8 RSI Extreme Exits</w:t>
      </w:r>
    </w:p>
    <w:p>
      <w:pPr>
        <w:spacing w:before="80" w:after="80"/>
        <w:shd w:val="clear" w:color="auto" w:fill="F0F0F5"/>
      </w:pPr>
      <w:r>
        <w:rPr>
          <w:rFonts w:ascii="Consolas" w:hAnsi="Consolas"/>
          <w:color w:val="1A1A2E"/>
          <w:sz w:val="18"/>
        </w:rPr>
        <w:t>longRSIExit  = inLong AND crossover(rsi, 90)</w:t>
        <w:br/>
        <w:t>shortRSIExit = inShort AND crossunder(rsi, 10)</w:t>
      </w:r>
    </w:p>
    <w:p>
      <w:r>
        <w:t>Exits positions when RSI reaches statistical extremes (90+ for longs, 10 or below for shorts). These levels occur approximately 1-3% of the time and represent parabolic moves likely to reverse.</w:t>
      </w:r>
    </w:p>
    <w:p>
      <w:pPr>
        <w:pStyle w:val="Heading2"/>
      </w:pPr>
      <w:r>
        <w:t>3.9 Moving Averages</w:t>
      </w:r>
    </w:p>
    <w:p>
      <w:pPr>
        <w:spacing w:before="80" w:after="80"/>
        <w:shd w:val="clear" w:color="auto" w:fill="F0F0F5"/>
      </w:pPr>
      <w:r>
        <w:rPr>
          <w:rFonts w:ascii="Consolas" w:hAnsi="Consolas"/>
          <w:color w:val="1A1A2E"/>
          <w:sz w:val="18"/>
        </w:rPr>
        <w:t>plot(ema5, "EMA 5", color=color.rgb(6, 121, 10), linewidth=2)</w:t>
        <w:br/>
        <w:t>plot(ema20, "EMA 20", color=color.red, linewidth=2)</w:t>
        <w:br/>
        <w:t>plot(sma50, "SMA 50", color=color.rgb(3, 3, 0))</w:t>
      </w:r>
    </w:p>
    <w:p>
      <w:r>
        <w:t>EMA5 (green), EMA20 (red), SMA50 (dark). Provide visual context for the trend filters.</w:t>
      </w:r>
    </w:p>
    <w:p>
      <w:pPr>
        <w:pStyle w:val="Heading2"/>
      </w:pPr>
      <w:r>
        <w:t>3.10 Visual-Only Sections</w:t>
      </w:r>
    </w:p>
    <w:p>
      <w:r>
        <w:t>The following sections are purely decorative and do not affect any signal logic:</w:t>
      </w:r>
    </w:p>
    <w:p>
      <w:pPr>
        <w:pStyle w:val="ListBullet"/>
      </w:pPr>
      <w:r>
        <w:t>HMA (Hull Moving Average)</w:t>
      </w:r>
    </w:p>
    <w:p>
      <w:r>
        <w:t>A visually smoothed moving average with color changes based on momentum. Rendered with a black border for emphasis.</w:t>
      </w:r>
    </w:p>
    <w:p>
      <w:pPr>
        <w:pStyle w:val="ListBullet"/>
      </w:pPr>
      <w:r>
        <w:t>Coral Indicator</w:t>
      </w:r>
    </w:p>
    <w:p>
      <w:r>
        <w:t>A trend-following indicator based on cascading IIR filters. Available in standard, ribbon, and color bar modes. Includes HTF (1-hour) and LTF (10-minute) Coral states for additional context.</w:t>
      </w:r>
    </w:p>
    <w:p>
      <w:pPr>
        <w:pStyle w:val="ListBullet"/>
      </w:pPr>
      <w:r>
        <w:t>HL/LH (Higher Low / Lower High)</w:t>
      </w:r>
    </w:p>
    <w:p>
      <w:r>
        <w:t>Detects swing structure patterns using adaptive pivot detection. Shows "HL" labels below bars during bullish trends and "LH" labels above bars during bearish trends.</w:t>
      </w:r>
    </w:p>
    <w:p>
      <w:pPr>
        <w:pStyle w:val="Heading2"/>
      </w:pPr>
      <w:r>
        <w:t>3.11 Structural Level Lines</w:t>
      </w:r>
    </w:p>
    <w:p>
      <w:r>
        <w:t>At the start of each new day, the indicator draws:</w:t>
      </w:r>
    </w:p>
    <w:p>
      <w:pPr>
        <w:pStyle w:val="ListBullet"/>
      </w:pPr>
      <w:r>
        <w:t>Vertical anchor line (gray) — connects highest and lowest targets</w:t>
      </w:r>
    </w:p>
    <w:p>
      <w:pPr>
        <w:pStyle w:val="ListBullet"/>
      </w:pPr>
      <w:r>
        <w:t>Red dashed lines — scalp targets (Target 1 &amp; Target 2)</w:t>
      </w:r>
    </w:p>
    <w:p>
      <w:pPr>
        <w:pStyle w:val="ListBullet"/>
      </w:pPr>
      <w:r>
        <w:t>Blue lines — Breakout (above, width=2) and Breakdown (below, width=2)</w:t>
      </w:r>
    </w:p>
    <w:p>
      <w:pPr>
        <w:pStyle w:val="ListBullet"/>
      </w:pPr>
      <w:r>
        <w:t>Red line — Sell Reversal level</w:t>
      </w:r>
    </w:p>
    <w:p>
      <w:pPr>
        <w:pStyle w:val="ListBullet"/>
      </w:pPr>
      <w:r>
        <w:t>Orange line — Pivot level (width=2)</w:t>
      </w:r>
    </w:p>
    <w:p>
      <w:pPr>
        <w:pStyle w:val="ListBullet"/>
      </w:pPr>
      <w:r>
        <w:t>Lime line — Buy Reversal level</w:t>
      </w:r>
    </w:p>
    <w:p>
      <w:r>
        <w:t>All lines extend to the right, providing forward-looking reference levels.</w:t>
      </w:r>
    </w:p>
    <w:p>
      <w:pPr>
        <w:pStyle w:val="Heading2"/>
      </w:pPr>
      <w:r>
        <w:t>3.12 Right-Side Level Labels</w:t>
      </w:r>
    </w:p>
    <w:p>
      <w:r>
        <w:t>When barstate.islast is true, price labels are drawn offset to the right. Each label shows the level name and current value (rounded to nearest integer). Example:</w:t>
      </w:r>
    </w:p>
    <w:p>
      <w:pPr>
        <w:spacing w:before="80" w:after="80"/>
        <w:shd w:val="clear" w:color="auto" w:fill="F0F0F5"/>
      </w:pPr>
      <w:r>
        <w:rPr>
          <w:rFonts w:ascii="Consolas" w:hAnsi="Consolas"/>
          <w:color w:val="1A1A2E"/>
          <w:sz w:val="18"/>
        </w:rPr>
        <w:t>Target 2 - 5276</w:t>
        <w:br/>
        <w:t>Target 1 - 5241</w:t>
        <w:br/>
        <w:t>Breakout - 5204</w:t>
        <w:br/>
        <w:t>Sell Reversal - 5168</w:t>
        <w:br/>
        <w:t>Pivot - 5159</w:t>
        <w:br/>
        <w:t>Buy Reversal - 5152</w:t>
        <w:br/>
        <w:t>Break Down - 5140</w:t>
        <w:br/>
        <w:t>Target 1 - 5112</w:t>
        <w:br/>
        <w:t>Target 2 - 5088</w:t>
      </w:r>
    </w:p>
    <w:p>
      <w:pPr>
        <w:pStyle w:val="Heading2"/>
      </w:pPr>
      <w:r>
        <w:t>3.13 Dashboard Table</w:t>
      </w:r>
    </w:p>
    <w:p>
      <w:r>
        <w:t>A compact 4-column table at the top center of the chart showing: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Column</w:t>
            </w:r>
          </w:p>
        </w:tc>
        <w:tc>
          <w:tcPr>
            <w:tcW w:type="dxa" w:w="2880"/>
          </w:tcPr>
          <w:p>
            <w:pPr>
              <w:jc w:val="center"/>
            </w:pPr>
            <w:r>
              <w:rPr>
                <w:b/>
                <w:sz w:val="20"/>
              </w:rPr>
              <w:t>Content</w:t>
            </w:r>
          </w:p>
        </w:tc>
        <w:tc>
          <w:tcPr>
            <w:tcW w:type="dxa" w:w="2880"/>
          </w:tcPr>
          <w:p>
            <w:pPr>
              <w:jc w:val="center"/>
            </w:pPr>
            <w:r>
              <w:rPr>
                <w:b/>
                <w:sz w:val="20"/>
              </w:rPr>
              <w:t>Text Color</w:t>
            </w:r>
          </w:p>
        </w:tc>
      </w:tr>
      <w:tr>
        <w:tc>
          <w:tcPr>
            <w:tcW w:type="dxa" w:w="2880"/>
          </w:tcPr>
          <w:p>
            <w:r>
              <w:rPr>
                <w:sz w:val="19"/>
              </w:rPr>
              <w:t>ADX</w:t>
            </w:r>
          </w:p>
        </w:tc>
        <w:tc>
          <w:tcPr>
            <w:tcW w:type="dxa" w:w="2880"/>
          </w:tcPr>
          <w:p>
            <w:r>
              <w:rPr>
                <w:sz w:val="19"/>
              </w:rPr>
              <w:t>Current ADX value</w:t>
            </w:r>
          </w:p>
        </w:tc>
        <w:tc>
          <w:tcPr>
            <w:tcW w:type="dxa" w:w="2880"/>
          </w:tcPr>
          <w:p>
            <w:r>
              <w:rPr>
                <w:sz w:val="19"/>
              </w:rPr>
              <w:t>Yellow</w:t>
            </w:r>
          </w:p>
        </w:tc>
      </w:tr>
      <w:tr>
        <w:tc>
          <w:tcPr>
            <w:tcW w:type="dxa" w:w="2880"/>
          </w:tcPr>
          <w:p>
            <w:r>
              <w:rPr>
                <w:sz w:val="19"/>
              </w:rPr>
              <w:t>DI+</w:t>
            </w:r>
          </w:p>
        </w:tc>
        <w:tc>
          <w:tcPr>
            <w:tcW w:type="dxa" w:w="2880"/>
          </w:tcPr>
          <w:p>
            <w:r>
              <w:rPr>
                <w:sz w:val="19"/>
              </w:rPr>
              <w:t>Positive directional index</w:t>
            </w:r>
          </w:p>
        </w:tc>
        <w:tc>
          <w:tcPr>
            <w:tcW w:type="dxa" w:w="2880"/>
          </w:tcPr>
          <w:p>
            <w:r>
              <w:rPr>
                <w:sz w:val="19"/>
              </w:rPr>
              <w:t>Green</w:t>
            </w:r>
          </w:p>
        </w:tc>
      </w:tr>
      <w:tr>
        <w:tc>
          <w:tcPr>
            <w:tcW w:type="dxa" w:w="2880"/>
          </w:tcPr>
          <w:p>
            <w:r>
              <w:rPr>
                <w:sz w:val="19"/>
              </w:rPr>
              <w:t>DI-</w:t>
            </w:r>
          </w:p>
        </w:tc>
        <w:tc>
          <w:tcPr>
            <w:tcW w:type="dxa" w:w="2880"/>
          </w:tcPr>
          <w:p>
            <w:r>
              <w:rPr>
                <w:sz w:val="19"/>
              </w:rPr>
              <w:t>Negative directional index</w:t>
            </w:r>
          </w:p>
        </w:tc>
        <w:tc>
          <w:tcPr>
            <w:tcW w:type="dxa" w:w="2880"/>
          </w:tcPr>
          <w:p>
            <w:r>
              <w:rPr>
                <w:sz w:val="19"/>
              </w:rPr>
              <w:t>Red</w:t>
            </w:r>
          </w:p>
        </w:tc>
      </w:tr>
      <w:tr>
        <w:tc>
          <w:tcPr>
            <w:tcW w:type="dxa" w:w="2880"/>
          </w:tcPr>
          <w:p>
            <w:r>
              <w:rPr>
                <w:sz w:val="19"/>
              </w:rPr>
              <w:t>Status</w:t>
            </w:r>
          </w:p>
        </w:tc>
        <w:tc>
          <w:tcPr>
            <w:tcW w:type="dxa" w:w="2880"/>
          </w:tcPr>
          <w:p>
            <w:r>
              <w:rPr>
                <w:sz w:val="19"/>
              </w:rPr>
              <w:t>BULL / BEAR / NEUTRAL</w:t>
            </w:r>
          </w:p>
        </w:tc>
        <w:tc>
          <w:tcPr>
            <w:tcW w:type="dxa" w:w="2880"/>
          </w:tcPr>
          <w:p>
            <w:r>
              <w:rPr>
                <w:sz w:val="19"/>
              </w:rPr>
              <w:t>Green / Red / Orange</w:t>
            </w:r>
          </w:p>
        </w:tc>
      </w:tr>
    </w:tbl>
    <w:p/>
    <w:p>
      <w:pPr>
        <w:pStyle w:val="Heading2"/>
      </w:pPr>
      <w:r>
        <w:t>3.14 Alert Conditions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Alert</w:t>
            </w:r>
          </w:p>
        </w:tc>
        <w:tc>
          <w:tcPr>
            <w:tcW w:type="dxa" w:w="2880"/>
          </w:tcPr>
          <w:p>
            <w:pPr>
              <w:jc w:val="center"/>
            </w:pPr>
            <w:r>
              <w:rPr>
                <w:b/>
                <w:sz w:val="20"/>
              </w:rPr>
              <w:t>Trigger</w:t>
            </w:r>
          </w:p>
        </w:tc>
        <w:tc>
          <w:tcPr>
            <w:tcW w:type="dxa" w:w="2880"/>
          </w:tcPr>
          <w:p>
            <w:pPr>
              <w:jc w:val="center"/>
            </w:pPr>
            <w:r>
              <w:rPr>
                <w:b/>
                <w:sz w:val="20"/>
              </w:rPr>
              <w:t>Use Case</w:t>
            </w:r>
          </w:p>
        </w:tc>
      </w:tr>
      <w:tr>
        <w:tc>
          <w:tcPr>
            <w:tcW w:type="dxa" w:w="2880"/>
          </w:tcPr>
          <w:p>
            <w:r>
              <w:rPr>
                <w:sz w:val="19"/>
              </w:rPr>
              <w:t>BUY REVERSAL</w:t>
            </w:r>
          </w:p>
        </w:tc>
        <w:tc>
          <w:tcPr>
            <w:tcW w:type="dxa" w:w="2880"/>
          </w:tcPr>
          <w:p>
            <w:r>
              <w:rPr>
                <w:sz w:val="19"/>
              </w:rPr>
              <w:t>BUY-R signal fires</w:t>
            </w:r>
          </w:p>
        </w:tc>
        <w:tc>
          <w:tcPr>
            <w:tcW w:type="dxa" w:w="2880"/>
          </w:tcPr>
          <w:p>
            <w:r>
              <w:rPr>
                <w:sz w:val="19"/>
              </w:rPr>
              <w:t>Enter long on reversal</w:t>
            </w:r>
          </w:p>
        </w:tc>
      </w:tr>
      <w:tr>
        <w:tc>
          <w:tcPr>
            <w:tcW w:type="dxa" w:w="2880"/>
          </w:tcPr>
          <w:p>
            <w:r>
              <w:rPr>
                <w:sz w:val="19"/>
              </w:rPr>
              <w:t>SELL REVERSAL</w:t>
            </w:r>
          </w:p>
        </w:tc>
        <w:tc>
          <w:tcPr>
            <w:tcW w:type="dxa" w:w="2880"/>
          </w:tcPr>
          <w:p>
            <w:r>
              <w:rPr>
                <w:sz w:val="19"/>
              </w:rPr>
              <w:t>SELL-R signal fires</w:t>
            </w:r>
          </w:p>
        </w:tc>
        <w:tc>
          <w:tcPr>
            <w:tcW w:type="dxa" w:w="2880"/>
          </w:tcPr>
          <w:p>
            <w:r>
              <w:rPr>
                <w:sz w:val="19"/>
              </w:rPr>
              <w:t>Enter short on reversal</w:t>
            </w:r>
          </w:p>
        </w:tc>
      </w:tr>
      <w:tr>
        <w:tc>
          <w:tcPr>
            <w:tcW w:type="dxa" w:w="2880"/>
          </w:tcPr>
          <w:p>
            <w:r>
              <w:rPr>
                <w:sz w:val="19"/>
              </w:rPr>
              <w:t>BUY BREAKOUT</w:t>
            </w:r>
          </w:p>
        </w:tc>
        <w:tc>
          <w:tcPr>
            <w:tcW w:type="dxa" w:w="2880"/>
          </w:tcPr>
          <w:p>
            <w:r>
              <w:rPr>
                <w:sz w:val="19"/>
              </w:rPr>
              <w:t>BUY-B signal fires</w:t>
            </w:r>
          </w:p>
        </w:tc>
        <w:tc>
          <w:tcPr>
            <w:tcW w:type="dxa" w:w="2880"/>
          </w:tcPr>
          <w:p>
            <w:r>
              <w:rPr>
                <w:sz w:val="19"/>
              </w:rPr>
              <w:t>Enter long on breakout</w:t>
            </w:r>
          </w:p>
        </w:tc>
      </w:tr>
      <w:tr>
        <w:tc>
          <w:tcPr>
            <w:tcW w:type="dxa" w:w="2880"/>
          </w:tcPr>
          <w:p>
            <w:r>
              <w:rPr>
                <w:sz w:val="19"/>
              </w:rPr>
              <w:t>SELL BREAKDOWN</w:t>
            </w:r>
          </w:p>
        </w:tc>
        <w:tc>
          <w:tcPr>
            <w:tcW w:type="dxa" w:w="2880"/>
          </w:tcPr>
          <w:p>
            <w:r>
              <w:rPr>
                <w:sz w:val="19"/>
              </w:rPr>
              <w:t>SELL-B signal fires</w:t>
            </w:r>
          </w:p>
        </w:tc>
        <w:tc>
          <w:tcPr>
            <w:tcW w:type="dxa" w:w="2880"/>
          </w:tcPr>
          <w:p>
            <w:r>
              <w:rPr>
                <w:sz w:val="19"/>
              </w:rPr>
              <w:t>Enter short on breakdown</w:t>
            </w:r>
          </w:p>
        </w:tc>
      </w:tr>
      <w:tr>
        <w:tc>
          <w:tcPr>
            <w:tcW w:type="dxa" w:w="2880"/>
          </w:tcPr>
          <w:p>
            <w:r>
              <w:rPr>
                <w:sz w:val="19"/>
              </w:rPr>
              <w:t>LONG EXIT RSI</w:t>
            </w:r>
          </w:p>
        </w:tc>
        <w:tc>
          <w:tcPr>
            <w:tcW w:type="dxa" w:w="2880"/>
          </w:tcPr>
          <w:p>
            <w:r>
              <w:rPr>
                <w:sz w:val="19"/>
              </w:rPr>
              <w:t>RSI &gt; 90 while in long</w:t>
            </w:r>
          </w:p>
        </w:tc>
        <w:tc>
          <w:tcPr>
            <w:tcW w:type="dxa" w:w="2880"/>
          </w:tcPr>
          <w:p>
            <w:r>
              <w:rPr>
                <w:sz w:val="19"/>
              </w:rPr>
              <w:t>Exit long at extreme</w:t>
            </w:r>
          </w:p>
        </w:tc>
      </w:tr>
      <w:tr>
        <w:tc>
          <w:tcPr>
            <w:tcW w:type="dxa" w:w="2880"/>
          </w:tcPr>
          <w:p>
            <w:r>
              <w:rPr>
                <w:sz w:val="19"/>
              </w:rPr>
              <w:t>SHORT EXIT RSI</w:t>
            </w:r>
          </w:p>
        </w:tc>
        <w:tc>
          <w:tcPr>
            <w:tcW w:type="dxa" w:w="2880"/>
          </w:tcPr>
          <w:p>
            <w:r>
              <w:rPr>
                <w:sz w:val="19"/>
              </w:rPr>
              <w:t>RSI &lt; 10 while in short</w:t>
            </w:r>
          </w:p>
        </w:tc>
        <w:tc>
          <w:tcPr>
            <w:tcW w:type="dxa" w:w="2880"/>
          </w:tcPr>
          <w:p>
            <w:r>
              <w:rPr>
                <w:sz w:val="19"/>
              </w:rPr>
              <w:t>Exit short at extreme</w:t>
            </w:r>
          </w:p>
        </w:tc>
      </w:tr>
    </w:tbl>
    <w:p/>
    <w:p>
      <w:pPr>
        <w:pStyle w:val="Heading1"/>
      </w:pPr>
      <w:r>
        <w:t>4. Signal Matrix Summary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Signal</w:t>
            </w:r>
          </w:p>
        </w:tc>
        <w:tc>
          <w:tcPr>
            <w:tcW w:type="dxa" w:w="1728"/>
          </w:tcPr>
          <w:p>
            <w:pPr>
              <w:jc w:val="center"/>
            </w:pPr>
            <w:r>
              <w:rPr>
                <w:b/>
                <w:sz w:val="20"/>
              </w:rPr>
              <w:t>Level Touch</w:t>
            </w:r>
          </w:p>
        </w:tc>
        <w:tc>
          <w:tcPr>
            <w:tcW w:type="dxa" w:w="1728"/>
          </w:tcPr>
          <w:p>
            <w:pPr>
              <w:jc w:val="center"/>
            </w:pPr>
            <w:r>
              <w:rPr>
                <w:b/>
                <w:sz w:val="20"/>
              </w:rPr>
              <w:t>Trend Required</w:t>
            </w:r>
          </w:p>
        </w:tc>
        <w:tc>
          <w:tcPr>
            <w:tcW w:type="dxa" w:w="1728"/>
          </w:tcPr>
          <w:p>
            <w:pPr>
              <w:jc w:val="center"/>
            </w:pPr>
            <w:r>
              <w:rPr>
                <w:b/>
                <w:sz w:val="20"/>
              </w:rPr>
              <w:t>RSI Filter</w:t>
            </w:r>
          </w:p>
        </w:tc>
        <w:tc>
          <w:tcPr>
            <w:tcW w:type="dxa" w:w="1728"/>
          </w:tcPr>
          <w:p>
            <w:pPr>
              <w:jc w:val="center"/>
            </w:pPr>
            <w:r>
              <w:rPr>
                <w:b/>
                <w:sz w:val="20"/>
              </w:rPr>
              <w:t>Type</w:t>
            </w:r>
          </w:p>
        </w:tc>
      </w:tr>
      <w:tr>
        <w:tc>
          <w:tcPr>
            <w:tcW w:type="dxa" w:w="1728"/>
          </w:tcPr>
          <w:p>
            <w:r>
              <w:rPr>
                <w:sz w:val="19"/>
              </w:rPr>
              <w:t>BUY-R</w:t>
            </w:r>
          </w:p>
        </w:tc>
        <w:tc>
          <w:tcPr>
            <w:tcW w:type="dxa" w:w="1728"/>
          </w:tcPr>
          <w:p>
            <w:r>
              <w:rPr>
                <w:sz w:val="19"/>
              </w:rPr>
              <w:t>HA close &gt; Buy Reversal</w:t>
            </w:r>
          </w:p>
        </w:tc>
        <w:tc>
          <w:tcPr>
            <w:tcW w:type="dxa" w:w="1728"/>
          </w:tcPr>
          <w:p>
            <w:r>
              <w:rPr>
                <w:sz w:val="19"/>
              </w:rPr>
              <w:t>Bullish</w:t>
            </w:r>
          </w:p>
        </w:tc>
        <w:tc>
          <w:tcPr>
            <w:tcW w:type="dxa" w:w="1728"/>
          </w:tcPr>
          <w:p>
            <w:r>
              <w:rPr>
                <w:sz w:val="19"/>
              </w:rPr>
              <w:t>RSI &lt; 80</w:t>
            </w:r>
          </w:p>
        </w:tc>
        <w:tc>
          <w:tcPr>
            <w:tcW w:type="dxa" w:w="1728"/>
          </w:tcPr>
          <w:p>
            <w:r>
              <w:rPr>
                <w:sz w:val="19"/>
              </w:rPr>
              <w:t>Reversal / pullback entry</w:t>
            </w:r>
          </w:p>
        </w:tc>
      </w:tr>
      <w:tr>
        <w:tc>
          <w:tcPr>
            <w:tcW w:type="dxa" w:w="1728"/>
          </w:tcPr>
          <w:p>
            <w:r>
              <w:rPr>
                <w:sz w:val="19"/>
              </w:rPr>
              <w:t>BUY-B</w:t>
            </w:r>
          </w:p>
        </w:tc>
        <w:tc>
          <w:tcPr>
            <w:tcW w:type="dxa" w:w="1728"/>
          </w:tcPr>
          <w:p>
            <w:r>
              <w:rPr>
                <w:sz w:val="19"/>
              </w:rPr>
              <w:t>HA crossover Breakout</w:t>
            </w:r>
          </w:p>
        </w:tc>
        <w:tc>
          <w:tcPr>
            <w:tcW w:type="dxa" w:w="1728"/>
          </w:tcPr>
          <w:p>
            <w:r>
              <w:rPr>
                <w:sz w:val="19"/>
              </w:rPr>
              <w:t>Bullish</w:t>
            </w:r>
          </w:p>
        </w:tc>
        <w:tc>
          <w:tcPr>
            <w:tcW w:type="dxa" w:w="1728"/>
          </w:tcPr>
          <w:p>
            <w:r>
              <w:rPr>
                <w:sz w:val="19"/>
              </w:rPr>
              <w:t>None</w:t>
            </w:r>
          </w:p>
        </w:tc>
        <w:tc>
          <w:tcPr>
            <w:tcW w:type="dxa" w:w="1728"/>
          </w:tcPr>
          <w:p>
            <w:r>
              <w:rPr>
                <w:sz w:val="19"/>
              </w:rPr>
              <w:t>Momentum breakout entry</w:t>
            </w:r>
          </w:p>
        </w:tc>
      </w:tr>
      <w:tr>
        <w:tc>
          <w:tcPr>
            <w:tcW w:type="dxa" w:w="1728"/>
          </w:tcPr>
          <w:p>
            <w:r>
              <w:rPr>
                <w:sz w:val="19"/>
              </w:rPr>
              <w:t>SELL-R</w:t>
            </w:r>
          </w:p>
        </w:tc>
        <w:tc>
          <w:tcPr>
            <w:tcW w:type="dxa" w:w="1728"/>
          </w:tcPr>
          <w:p>
            <w:r>
              <w:rPr>
                <w:sz w:val="19"/>
              </w:rPr>
              <w:t>HA close &lt; Sell Reversal</w:t>
            </w:r>
          </w:p>
        </w:tc>
        <w:tc>
          <w:tcPr>
            <w:tcW w:type="dxa" w:w="1728"/>
          </w:tcPr>
          <w:p>
            <w:r>
              <w:rPr>
                <w:sz w:val="19"/>
              </w:rPr>
              <w:t>Bearish</w:t>
            </w:r>
          </w:p>
        </w:tc>
        <w:tc>
          <w:tcPr>
            <w:tcW w:type="dxa" w:w="1728"/>
          </w:tcPr>
          <w:p>
            <w:r>
              <w:rPr>
                <w:sz w:val="19"/>
              </w:rPr>
              <w:t>RSI &gt; 20</w:t>
            </w:r>
          </w:p>
        </w:tc>
        <w:tc>
          <w:tcPr>
            <w:tcW w:type="dxa" w:w="1728"/>
          </w:tcPr>
          <w:p>
            <w:r>
              <w:rPr>
                <w:sz w:val="19"/>
              </w:rPr>
              <w:t>Reversal / pullback entry</w:t>
            </w:r>
          </w:p>
        </w:tc>
      </w:tr>
      <w:tr>
        <w:tc>
          <w:tcPr>
            <w:tcW w:type="dxa" w:w="1728"/>
          </w:tcPr>
          <w:p>
            <w:r>
              <w:rPr>
                <w:sz w:val="19"/>
              </w:rPr>
              <w:t>SELL-B</w:t>
            </w:r>
          </w:p>
        </w:tc>
        <w:tc>
          <w:tcPr>
            <w:tcW w:type="dxa" w:w="1728"/>
          </w:tcPr>
          <w:p>
            <w:r>
              <w:rPr>
                <w:sz w:val="19"/>
              </w:rPr>
              <w:t>HA crossunder Breakdown</w:t>
            </w:r>
          </w:p>
        </w:tc>
        <w:tc>
          <w:tcPr>
            <w:tcW w:type="dxa" w:w="1728"/>
          </w:tcPr>
          <w:p>
            <w:r>
              <w:rPr>
                <w:sz w:val="19"/>
              </w:rPr>
              <w:t>Bearish</w:t>
            </w:r>
          </w:p>
        </w:tc>
        <w:tc>
          <w:tcPr>
            <w:tcW w:type="dxa" w:w="1728"/>
          </w:tcPr>
          <w:p>
            <w:r>
              <w:rPr>
                <w:sz w:val="19"/>
              </w:rPr>
              <w:t>None</w:t>
            </w:r>
          </w:p>
        </w:tc>
        <w:tc>
          <w:tcPr>
            <w:tcW w:type="dxa" w:w="1728"/>
          </w:tcPr>
          <w:p>
            <w:r>
              <w:rPr>
                <w:sz w:val="19"/>
              </w:rPr>
              <w:t>Momentum breakdown entry</w:t>
            </w:r>
          </w:p>
        </w:tc>
      </w:tr>
    </w:tbl>
    <w:p/>
    <w:p>
      <w:pPr>
        <w:pStyle w:val="Heading1"/>
      </w:pPr>
      <w:r>
        <w:t>5. Trading Guidelines</w:t>
      </w:r>
    </w:p>
    <w:p>
      <w:pPr>
        <w:pStyle w:val="Heading2"/>
      </w:pPr>
      <w:r>
        <w:t>Recommended Timeframes</w:t>
      </w:r>
    </w:p>
    <w:p>
      <w:pPr>
        <w:pStyle w:val="ListBullet"/>
      </w:pPr>
      <w:r>
        <w:t>Primary: 1-hour or 30-minute charts</w:t>
      </w:r>
    </w:p>
    <w:p>
      <w:pPr>
        <w:pStyle w:val="ListBullet"/>
      </w:pPr>
      <w:r>
        <w:t>Minimum: 15-minute (requires at least 33 bars for ADX calculation)</w:t>
      </w:r>
    </w:p>
    <w:p>
      <w:pPr>
        <w:pStyle w:val="ListBullet"/>
      </w:pPr>
      <w:r>
        <w:t>Ideal setup: Use on 1H chart with Daily pivot levels</w:t>
      </w:r>
    </w:p>
    <w:p>
      <w:pPr>
        <w:pStyle w:val="Heading2"/>
      </w:pPr>
      <w:r>
        <w:t>Entry Rules</w:t>
      </w:r>
    </w:p>
    <w:p>
      <w:pPr>
        <w:pStyle w:val="ListNumber"/>
      </w:pPr>
      <w:r>
        <w:t>Wait for a BUY-R / BUY-B or SELL-R / SELL-B label to appear</w:t>
      </w:r>
    </w:p>
    <w:p>
      <w:pPr>
        <w:pStyle w:val="ListNumber"/>
      </w:pPr>
      <w:r>
        <w:t>Verify the label corresponds with the current trend direction</w:t>
      </w:r>
    </w:p>
    <w:p>
      <w:pPr>
        <w:pStyle w:val="ListNumber"/>
      </w:pPr>
      <w:r>
        <w:t>Check the dashboard for ADX &gt; 20 and correct DI+ / DI- alignment</w:t>
      </w:r>
    </w:p>
    <w:p>
      <w:pPr>
        <w:pStyle w:val="ListNumber"/>
      </w:pPr>
      <w:r>
        <w:t>For manual entry: enter on the next candle open after the signal</w:t>
      </w:r>
    </w:p>
    <w:p>
      <w:pPr>
        <w:pStyle w:val="Heading2"/>
      </w:pPr>
      <w:r>
        <w:t>Exit Rules</w:t>
      </w:r>
    </w:p>
    <w:p>
      <w:r>
        <w:t>Scalp Strategy:</w:t>
      </w:r>
    </w:p>
    <w:p>
      <w:pPr>
        <w:pStyle w:val="ListBullet"/>
      </w:pPr>
      <w:r>
        <w:t>Target 1: +0.28× ATR from breakout (conservative)</w:t>
      </w:r>
    </w:p>
    <w:p>
      <w:pPr>
        <w:pStyle w:val="ListBullet"/>
      </w:pPr>
      <w:r>
        <w:t>Target 2: +0.41× ATR from breakout (aggressive)</w:t>
      </w:r>
    </w:p>
    <w:p>
      <w:pPr>
        <w:pStyle w:val="ListBullet"/>
      </w:pPr>
      <w:r>
        <w:t>Stop: Breakout level for BUY-B, Breakdown level for SELL-B</w:t>
      </w:r>
    </w:p>
    <w:p>
      <w:r>
        <w:t>Positional Strategy:</w:t>
      </w:r>
    </w:p>
    <w:p>
      <w:pPr>
        <w:pStyle w:val="ListBullet"/>
      </w:pPr>
      <w:r>
        <w:t>Fixed profit target (default: / position size)</w:t>
      </w:r>
    </w:p>
    <w:p>
      <w:pPr>
        <w:pStyle w:val="ListBullet"/>
      </w:pPr>
      <w:r>
        <w:t>5% trailing or fixed stop-loss</w:t>
      </w:r>
    </w:p>
    <w:p>
      <w:pPr>
        <w:pStyle w:val="ListBullet"/>
      </w:pPr>
      <w:r>
        <w:t>RSI extreme exits (RSI &gt; 90 for longs, RSI &lt; 10 for shorts)</w:t>
      </w:r>
    </w:p>
    <w:p>
      <w:pPr>
        <w:pStyle w:val="Heading2"/>
      </w:pPr>
      <w:r>
        <w:t>Risk Management</w:t>
      </w:r>
    </w:p>
    <w:p>
      <w:pPr>
        <w:pStyle w:val="ListBullet"/>
      </w:pPr>
      <w:r>
        <w:t>Position size: lotSize × lots (default: 65 × 10 = 650 shares)</w:t>
      </w:r>
    </w:p>
    <w:p>
      <w:pPr>
        <w:pStyle w:val="ListBullet"/>
      </w:pPr>
      <w:r>
        <w:t>Capital per position: 1.5L (built into the tracker system)</w:t>
      </w:r>
    </w:p>
    <w:p>
      <w:pPr>
        <w:pStyle w:val="ListBullet"/>
      </w:pPr>
      <w:r>
        <w:t>Maximum 1 active trade per direction (enforced by trendState)</w:t>
      </w:r>
    </w:p>
    <w:p>
      <w:pPr>
        <w:pStyle w:val="Heading1"/>
      </w:pPr>
      <w:r>
        <w:t>6. Parameter Reference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Input</w:t>
            </w:r>
          </w:p>
        </w:tc>
        <w:tc>
          <w:tcPr>
            <w:tcW w:type="dxa" w:w="2160"/>
          </w:tcPr>
          <w:p>
            <w:pPr>
              <w:jc w:val="center"/>
            </w:pPr>
            <w:r>
              <w:rPr>
                <w:b/>
                <w:sz w:val="20"/>
              </w:rPr>
              <w:t>Default</w:t>
            </w:r>
          </w:p>
        </w:tc>
        <w:tc>
          <w:tcPr>
            <w:tcW w:type="dxa" w:w="2160"/>
          </w:tcPr>
          <w:p>
            <w:pPr>
              <w:jc w:val="center"/>
            </w:pPr>
            <w:r>
              <w:rPr>
                <w:b/>
                <w:sz w:val="20"/>
              </w:rPr>
              <w:t>Range</w:t>
            </w:r>
          </w:p>
        </w:tc>
        <w:tc>
          <w:tcPr>
            <w:tcW w:type="dxa" w:w="2160"/>
          </w:tcPr>
          <w:p>
            <w:pPr>
              <w:jc w:val="center"/>
            </w:pPr>
            <w:r>
              <w:rPr>
                <w:b/>
                <w:sz w:val="20"/>
              </w:rPr>
              <w:t>Effect</w:t>
            </w:r>
          </w:p>
        </w:tc>
      </w:tr>
      <w:tr>
        <w:tc>
          <w:tcPr>
            <w:tcW w:type="dxa" w:w="2160"/>
          </w:tcPr>
          <w:p>
            <w:r>
              <w:rPr>
                <w:sz w:val="19"/>
              </w:rPr>
              <w:t>EMA Fast</w:t>
            </w:r>
          </w:p>
        </w:tc>
        <w:tc>
          <w:tcPr>
            <w:tcW w:type="dxa" w:w="2160"/>
          </w:tcPr>
          <w:p>
            <w:r>
              <w:rPr>
                <w:sz w:val="19"/>
              </w:rPr>
              <w:t>5</w:t>
            </w:r>
          </w:p>
        </w:tc>
        <w:tc>
          <w:tcPr>
            <w:tcW w:type="dxa" w:w="2160"/>
          </w:tcPr>
          <w:p>
            <w:r>
              <w:rPr>
                <w:sz w:val="19"/>
              </w:rPr>
              <w:t>3–20</w:t>
            </w:r>
          </w:p>
        </w:tc>
        <w:tc>
          <w:tcPr>
            <w:tcW w:type="dxa" w:w="2160"/>
          </w:tcPr>
          <w:p>
            <w:r>
              <w:rPr>
                <w:sz w:val="19"/>
              </w:rPr>
              <w:t>Sensitivity of short-term trend</w:t>
            </w:r>
          </w:p>
        </w:tc>
      </w:tr>
      <w:tr>
        <w:tc>
          <w:tcPr>
            <w:tcW w:type="dxa" w:w="2160"/>
          </w:tcPr>
          <w:p>
            <w:r>
              <w:rPr>
                <w:sz w:val="19"/>
              </w:rPr>
              <w:t>EMA Slow</w:t>
            </w:r>
          </w:p>
        </w:tc>
        <w:tc>
          <w:tcPr>
            <w:tcW w:type="dxa" w:w="2160"/>
          </w:tcPr>
          <w:p>
            <w:r>
              <w:rPr>
                <w:sz w:val="19"/>
              </w:rPr>
              <w:t>20</w:t>
            </w:r>
          </w:p>
        </w:tc>
        <w:tc>
          <w:tcPr>
            <w:tcW w:type="dxa" w:w="2160"/>
          </w:tcPr>
          <w:p>
            <w:r>
              <w:rPr>
                <w:sz w:val="19"/>
              </w:rPr>
              <w:t>10–50</w:t>
            </w:r>
          </w:p>
        </w:tc>
        <w:tc>
          <w:tcPr>
            <w:tcW w:type="dxa" w:w="2160"/>
          </w:tcPr>
          <w:p>
            <w:r>
              <w:rPr>
                <w:sz w:val="19"/>
              </w:rPr>
              <w:t>Medium-term trend direction</w:t>
            </w:r>
          </w:p>
        </w:tc>
      </w:tr>
      <w:tr>
        <w:tc>
          <w:tcPr>
            <w:tcW w:type="dxa" w:w="2160"/>
          </w:tcPr>
          <w:p>
            <w:r>
              <w:rPr>
                <w:sz w:val="19"/>
              </w:rPr>
              <w:t>SMA Length</w:t>
            </w:r>
          </w:p>
        </w:tc>
        <w:tc>
          <w:tcPr>
            <w:tcW w:type="dxa" w:w="2160"/>
          </w:tcPr>
          <w:p>
            <w:r>
              <w:rPr>
                <w:sz w:val="19"/>
              </w:rPr>
              <w:t>50</w:t>
            </w:r>
          </w:p>
        </w:tc>
        <w:tc>
          <w:tcPr>
            <w:tcW w:type="dxa" w:w="2160"/>
          </w:tcPr>
          <w:p>
            <w:r>
              <w:rPr>
                <w:sz w:val="19"/>
              </w:rPr>
              <w:t>20–200</w:t>
            </w:r>
          </w:p>
        </w:tc>
        <w:tc>
          <w:tcPr>
            <w:tcW w:type="dxa" w:w="2160"/>
          </w:tcPr>
          <w:p>
            <w:r>
              <w:rPr>
                <w:sz w:val="19"/>
              </w:rPr>
              <w:t>Major trend filter</w:t>
            </w:r>
          </w:p>
        </w:tc>
      </w:tr>
      <w:tr>
        <w:tc>
          <w:tcPr>
            <w:tcW w:type="dxa" w:w="2160"/>
          </w:tcPr>
          <w:p>
            <w:r>
              <w:rPr>
                <w:sz w:val="19"/>
              </w:rPr>
              <w:t>ADX Length</w:t>
            </w:r>
          </w:p>
        </w:tc>
        <w:tc>
          <w:tcPr>
            <w:tcW w:type="dxa" w:w="2160"/>
          </w:tcPr>
          <w:p>
            <w:r>
              <w:rPr>
                <w:sz w:val="19"/>
              </w:rPr>
              <w:t>14</w:t>
            </w:r>
          </w:p>
        </w:tc>
        <w:tc>
          <w:tcPr>
            <w:tcW w:type="dxa" w:w="2160"/>
          </w:tcPr>
          <w:p>
            <w:r>
              <w:rPr>
                <w:sz w:val="19"/>
              </w:rPr>
              <w:t>7–21</w:t>
            </w:r>
          </w:p>
        </w:tc>
        <w:tc>
          <w:tcPr>
            <w:tcW w:type="dxa" w:w="2160"/>
          </w:tcPr>
          <w:p>
            <w:r>
              <w:rPr>
                <w:sz w:val="19"/>
              </w:rPr>
              <w:t>ADX lookback period</w:t>
            </w:r>
          </w:p>
        </w:tc>
      </w:tr>
      <w:tr>
        <w:tc>
          <w:tcPr>
            <w:tcW w:type="dxa" w:w="2160"/>
          </w:tcPr>
          <w:p>
            <w:r>
              <w:rPr>
                <w:sz w:val="19"/>
              </w:rPr>
              <w:t>ADX Smoothing</w:t>
            </w:r>
          </w:p>
        </w:tc>
        <w:tc>
          <w:tcPr>
            <w:tcW w:type="dxa" w:w="2160"/>
          </w:tcPr>
          <w:p>
            <w:r>
              <w:rPr>
                <w:sz w:val="19"/>
              </w:rPr>
              <w:t>14</w:t>
            </w:r>
          </w:p>
        </w:tc>
        <w:tc>
          <w:tcPr>
            <w:tcW w:type="dxa" w:w="2160"/>
          </w:tcPr>
          <w:p>
            <w:r>
              <w:rPr>
                <w:sz w:val="19"/>
              </w:rPr>
              <w:t>7–21</w:t>
            </w:r>
          </w:p>
        </w:tc>
        <w:tc>
          <w:tcPr>
            <w:tcW w:type="dxa" w:w="2160"/>
          </w:tcPr>
          <w:p>
            <w:r>
              <w:rPr>
                <w:sz w:val="19"/>
              </w:rPr>
              <w:t>ADX smoothing</w:t>
            </w:r>
          </w:p>
        </w:tc>
      </w:tr>
      <w:tr>
        <w:tc>
          <w:tcPr>
            <w:tcW w:type="dxa" w:w="2160"/>
          </w:tcPr>
          <w:p>
            <w:r>
              <w:rPr>
                <w:sz w:val="19"/>
              </w:rPr>
              <w:t>ADX Threshold</w:t>
            </w:r>
          </w:p>
        </w:tc>
        <w:tc>
          <w:tcPr>
            <w:tcW w:type="dxa" w:w="2160"/>
          </w:tcPr>
          <w:p>
            <w:r>
              <w:rPr>
                <w:sz w:val="19"/>
              </w:rPr>
              <w:t>20</w:t>
            </w:r>
          </w:p>
        </w:tc>
        <w:tc>
          <w:tcPr>
            <w:tcW w:type="dxa" w:w="2160"/>
          </w:tcPr>
          <w:p>
            <w:r>
              <w:rPr>
                <w:sz w:val="19"/>
              </w:rPr>
              <w:t>15–30</w:t>
            </w:r>
          </w:p>
        </w:tc>
        <w:tc>
          <w:tcPr>
            <w:tcW w:type="dxa" w:w="2160"/>
          </w:tcPr>
          <w:p>
            <w:r>
              <w:rPr>
                <w:sz w:val="19"/>
              </w:rPr>
              <w:t>Minimum trend strength</w:t>
            </w:r>
          </w:p>
        </w:tc>
      </w:tr>
      <w:tr>
        <w:tc>
          <w:tcPr>
            <w:tcW w:type="dxa" w:w="2160"/>
          </w:tcPr>
          <w:p>
            <w:r>
              <w:rPr>
                <w:sz w:val="19"/>
              </w:rPr>
              <w:t>Use VWAP</w:t>
            </w:r>
          </w:p>
        </w:tc>
        <w:tc>
          <w:tcPr>
            <w:tcW w:type="dxa" w:w="2160"/>
          </w:tcPr>
          <w:p>
            <w:r>
              <w:rPr>
                <w:sz w:val="19"/>
              </w:rPr>
              <w:t>true</w:t>
            </w:r>
          </w:p>
        </w:tc>
        <w:tc>
          <w:tcPr>
            <w:tcW w:type="dxa" w:w="2160"/>
          </w:tcPr>
          <w:p>
            <w:r>
              <w:rPr>
                <w:sz w:val="19"/>
              </w:rPr>
              <w:t>On/Off</w:t>
            </w:r>
          </w:p>
        </w:tc>
        <w:tc>
          <w:tcPr>
            <w:tcW w:type="dxa" w:w="2160"/>
          </w:tcPr>
          <w:p>
            <w:r>
              <w:rPr>
                <w:sz w:val="19"/>
              </w:rPr>
              <w:t>Optional volume filter</w:t>
            </w:r>
          </w:p>
        </w:tc>
      </w:tr>
      <w:tr>
        <w:tc>
          <w:tcPr>
            <w:tcW w:type="dxa" w:w="2160"/>
          </w:tcPr>
          <w:p>
            <w:r>
              <w:rPr>
                <w:sz w:val="19"/>
              </w:rPr>
              <w:t>Sell Rev ATR Mult</w:t>
            </w:r>
          </w:p>
        </w:tc>
        <w:tc>
          <w:tcPr>
            <w:tcW w:type="dxa" w:w="2160"/>
          </w:tcPr>
          <w:p>
            <w:r>
              <w:rPr>
                <w:sz w:val="19"/>
              </w:rPr>
              <w:t>0.29</w:t>
            </w:r>
          </w:p>
        </w:tc>
        <w:tc>
          <w:tcPr>
            <w:tcW w:type="dxa" w:w="2160"/>
          </w:tcPr>
          <w:p>
            <w:r>
              <w:rPr>
                <w:sz w:val="19"/>
              </w:rPr>
              <w:t>0.1–0.5</w:t>
            </w:r>
          </w:p>
        </w:tc>
        <w:tc>
          <w:tcPr>
            <w:tcW w:type="dxa" w:w="2160"/>
          </w:tcPr>
          <w:p>
            <w:r>
              <w:rPr>
                <w:sz w:val="19"/>
              </w:rPr>
              <w:t>Sell reversal distance from pivot</w:t>
            </w:r>
          </w:p>
        </w:tc>
      </w:tr>
      <w:tr>
        <w:tc>
          <w:tcPr>
            <w:tcW w:type="dxa" w:w="2160"/>
          </w:tcPr>
          <w:p>
            <w:r>
              <w:rPr>
                <w:sz w:val="19"/>
              </w:rPr>
              <w:t>Buy Rev ATR Mult</w:t>
            </w:r>
          </w:p>
        </w:tc>
        <w:tc>
          <w:tcPr>
            <w:tcW w:type="dxa" w:w="2160"/>
          </w:tcPr>
          <w:p>
            <w:r>
              <w:rPr>
                <w:sz w:val="19"/>
              </w:rPr>
              <w:t>0.21</w:t>
            </w:r>
          </w:p>
        </w:tc>
        <w:tc>
          <w:tcPr>
            <w:tcW w:type="dxa" w:w="2160"/>
          </w:tcPr>
          <w:p>
            <w:r>
              <w:rPr>
                <w:sz w:val="19"/>
              </w:rPr>
              <w:t>0.1–0.5</w:t>
            </w:r>
          </w:p>
        </w:tc>
        <w:tc>
          <w:tcPr>
            <w:tcW w:type="dxa" w:w="2160"/>
          </w:tcPr>
          <w:p>
            <w:r>
              <w:rPr>
                <w:sz w:val="19"/>
              </w:rPr>
              <w:t>Buy reversal distance from pivot</w:t>
            </w:r>
          </w:p>
        </w:tc>
      </w:tr>
      <w:tr>
        <w:tc>
          <w:tcPr>
            <w:tcW w:type="dxa" w:w="2160"/>
          </w:tcPr>
          <w:p>
            <w:r>
              <w:rPr>
                <w:sz w:val="19"/>
              </w:rPr>
              <w:t>Breakout ATR Mult</w:t>
            </w:r>
          </w:p>
        </w:tc>
        <w:tc>
          <w:tcPr>
            <w:tcW w:type="dxa" w:w="2160"/>
          </w:tcPr>
          <w:p>
            <w:r>
              <w:rPr>
                <w:sz w:val="19"/>
              </w:rPr>
              <w:t>0.54</w:t>
            </w:r>
          </w:p>
        </w:tc>
        <w:tc>
          <w:tcPr>
            <w:tcW w:type="dxa" w:w="2160"/>
          </w:tcPr>
          <w:p>
            <w:r>
              <w:rPr>
                <w:sz w:val="19"/>
              </w:rPr>
              <w:t>0.3–0.8</w:t>
            </w:r>
          </w:p>
        </w:tc>
        <w:tc>
          <w:tcPr>
            <w:tcW w:type="dxa" w:w="2160"/>
          </w:tcPr>
          <w:p>
            <w:r>
              <w:rPr>
                <w:sz w:val="19"/>
              </w:rPr>
              <w:t>Breakout distance from pivot</w:t>
            </w:r>
          </w:p>
        </w:tc>
      </w:tr>
      <w:tr>
        <w:tc>
          <w:tcPr>
            <w:tcW w:type="dxa" w:w="2160"/>
          </w:tcPr>
          <w:p>
            <w:r>
              <w:rPr>
                <w:sz w:val="19"/>
              </w:rPr>
              <w:t>Breakdown ATR Mult</w:t>
            </w:r>
          </w:p>
        </w:tc>
        <w:tc>
          <w:tcPr>
            <w:tcW w:type="dxa" w:w="2160"/>
          </w:tcPr>
          <w:p>
            <w:r>
              <w:rPr>
                <w:sz w:val="19"/>
              </w:rPr>
              <w:t>0.46</w:t>
            </w:r>
          </w:p>
        </w:tc>
        <w:tc>
          <w:tcPr>
            <w:tcW w:type="dxa" w:w="2160"/>
          </w:tcPr>
          <w:p>
            <w:r>
              <w:rPr>
                <w:sz w:val="19"/>
              </w:rPr>
              <w:t>0.3–0.8</w:t>
            </w:r>
          </w:p>
        </w:tc>
        <w:tc>
          <w:tcPr>
            <w:tcW w:type="dxa" w:w="2160"/>
          </w:tcPr>
          <w:p>
            <w:r>
              <w:rPr>
                <w:sz w:val="19"/>
              </w:rPr>
              <w:t>Breakdown distance from pivot</w:t>
            </w:r>
          </w:p>
        </w:tc>
      </w:tr>
      <w:tr>
        <w:tc>
          <w:tcPr>
            <w:tcW w:type="dxa" w:w="2160"/>
          </w:tcPr>
          <w:p>
            <w:r>
              <w:rPr>
                <w:sz w:val="19"/>
              </w:rPr>
              <w:t>Target 1 ATR Mult</w:t>
            </w:r>
          </w:p>
        </w:tc>
        <w:tc>
          <w:tcPr>
            <w:tcW w:type="dxa" w:w="2160"/>
          </w:tcPr>
          <w:p>
            <w:r>
              <w:rPr>
                <w:sz w:val="19"/>
              </w:rPr>
              <w:t>0.28</w:t>
            </w:r>
          </w:p>
        </w:tc>
        <w:tc>
          <w:tcPr>
            <w:tcW w:type="dxa" w:w="2160"/>
          </w:tcPr>
          <w:p>
            <w:r>
              <w:rPr>
                <w:sz w:val="19"/>
              </w:rPr>
              <w:t>0.1–0.5</w:t>
            </w:r>
          </w:p>
        </w:tc>
        <w:tc>
          <w:tcPr>
            <w:tcW w:type="dxa" w:w="2160"/>
          </w:tcPr>
          <w:p>
            <w:r>
              <w:rPr>
                <w:sz w:val="19"/>
              </w:rPr>
              <w:t>First scalp target distance</w:t>
            </w:r>
          </w:p>
        </w:tc>
      </w:tr>
      <w:tr>
        <w:tc>
          <w:tcPr>
            <w:tcW w:type="dxa" w:w="2160"/>
          </w:tcPr>
          <w:p>
            <w:r>
              <w:rPr>
                <w:sz w:val="19"/>
              </w:rPr>
              <w:t>Target 2 ATR Mult</w:t>
            </w:r>
          </w:p>
        </w:tc>
        <w:tc>
          <w:tcPr>
            <w:tcW w:type="dxa" w:w="2160"/>
          </w:tcPr>
          <w:p>
            <w:r>
              <w:rPr>
                <w:sz w:val="19"/>
              </w:rPr>
              <w:t>0.41</w:t>
            </w:r>
          </w:p>
        </w:tc>
        <w:tc>
          <w:tcPr>
            <w:tcW w:type="dxa" w:w="2160"/>
          </w:tcPr>
          <w:p>
            <w:r>
              <w:rPr>
                <w:sz w:val="19"/>
              </w:rPr>
              <w:t>0.1–0.6</w:t>
            </w:r>
          </w:p>
        </w:tc>
        <w:tc>
          <w:tcPr>
            <w:tcW w:type="dxa" w:w="2160"/>
          </w:tcPr>
          <w:p>
            <w:r>
              <w:rPr>
                <w:sz w:val="19"/>
              </w:rPr>
              <w:t>Second scalp target distance</w:t>
            </w:r>
          </w:p>
        </w:tc>
      </w:tr>
      <w:tr>
        <w:tc>
          <w:tcPr>
            <w:tcW w:type="dxa" w:w="2160"/>
          </w:tcPr>
          <w:p>
            <w:r>
              <w:rPr>
                <w:sz w:val="19"/>
              </w:rPr>
              <w:t>Lot Size</w:t>
            </w:r>
          </w:p>
        </w:tc>
        <w:tc>
          <w:tcPr>
            <w:tcW w:type="dxa" w:w="2160"/>
          </w:tcPr>
          <w:p>
            <w:r>
              <w:rPr>
                <w:sz w:val="19"/>
              </w:rPr>
              <w:t>65</w:t>
            </w:r>
          </w:p>
        </w:tc>
        <w:tc>
          <w:tcPr>
            <w:tcW w:type="dxa" w:w="2160"/>
          </w:tcPr>
          <w:p>
            <w:r>
              <w:rPr>
                <w:sz w:val="19"/>
              </w:rPr>
              <w:t>1–500</w:t>
            </w:r>
          </w:p>
        </w:tc>
        <w:tc>
          <w:tcPr>
            <w:tcW w:type="dxa" w:w="2160"/>
          </w:tcPr>
          <w:p>
            <w:r>
              <w:rPr>
                <w:sz w:val="19"/>
              </w:rPr>
              <w:t>Lot/multiplier for position sizing</w:t>
            </w:r>
          </w:p>
        </w:tc>
      </w:tr>
      <w:tr>
        <w:tc>
          <w:tcPr>
            <w:tcW w:type="dxa" w:w="2160"/>
          </w:tcPr>
          <w:p>
            <w:r>
              <w:rPr>
                <w:sz w:val="19"/>
              </w:rPr>
              <w:t>Lots</w:t>
            </w:r>
          </w:p>
        </w:tc>
        <w:tc>
          <w:tcPr>
            <w:tcW w:type="dxa" w:w="2160"/>
          </w:tcPr>
          <w:p>
            <w:r>
              <w:rPr>
                <w:sz w:val="19"/>
              </w:rPr>
              <w:t>10</w:t>
            </w:r>
          </w:p>
        </w:tc>
        <w:tc>
          <w:tcPr>
            <w:tcW w:type="dxa" w:w="2160"/>
          </w:tcPr>
          <w:p>
            <w:r>
              <w:rPr>
                <w:sz w:val="19"/>
              </w:rPr>
              <w:t>1–100</w:t>
            </w:r>
          </w:p>
        </w:tc>
        <w:tc>
          <w:tcPr>
            <w:tcW w:type="dxa" w:w="2160"/>
          </w:tcPr>
          <w:p>
            <w:r>
              <w:rPr>
                <w:sz w:val="19"/>
              </w:rPr>
              <w:t>Number of lots</w:t>
            </w:r>
          </w:p>
        </w:tc>
      </w:tr>
      <w:tr>
        <w:tc>
          <w:tcPr>
            <w:tcW w:type="dxa" w:w="2160"/>
          </w:tcPr>
          <w:p>
            <w:r>
              <w:rPr>
                <w:sz w:val="19"/>
              </w:rPr>
              <w:t xml:space="preserve">Target </w:t>
            </w:r>
          </w:p>
        </w:tc>
        <w:tc>
          <w:tcPr>
            <w:tcW w:type="dxa" w:w="2160"/>
          </w:tcPr>
          <w:p>
            <w:r>
              <w:rPr>
                <w:sz w:val="19"/>
              </w:rPr>
              <w:t>500000</w:t>
            </w:r>
          </w:p>
        </w:tc>
        <w:tc>
          <w:tcPr>
            <w:tcW w:type="dxa" w:w="2160"/>
          </w:tcPr>
          <w:p>
            <w:r>
              <w:rPr>
                <w:sz w:val="19"/>
              </w:rPr>
              <w:t>10000–10M</w:t>
            </w:r>
          </w:p>
        </w:tc>
        <w:tc>
          <w:tcPr>
            <w:tcW w:type="dxa" w:w="2160"/>
          </w:tcPr>
          <w:p>
            <w:r>
              <w:rPr>
                <w:sz w:val="19"/>
              </w:rPr>
              <w:t>Fixed profit target in rupees</w:t>
            </w:r>
          </w:p>
        </w:tc>
      </w:tr>
    </w:tbl>
    <w:p/>
    <w:p>
      <w:pPr>
        <w:pStyle w:val="Heading1"/>
      </w:pPr>
      <w:r>
        <w:t>7. Disclaimer</w:t>
      </w:r>
    </w:p>
    <w:p>
      <w:r>
        <w:rPr>
          <w:i/>
          <w:color w:val="666666"/>
        </w:rPr>
        <w:t>This indicator is for educational and analytical purposes only. It does not constitute financial advice. Past performance (backtested or live) does not guarantee future results. Always practice proper risk management and consult a qualified financial advisor before making trading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