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4E16C" w14:textId="77777777" w:rsidR="00596E60" w:rsidRPr="00596E60" w:rsidRDefault="00596E60" w:rsidP="00596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E60">
        <w:rPr>
          <w:rFonts w:ascii="Times New Roman" w:eastAsia="Times New Roman" w:hAnsi="Times New Roman" w:cs="Times New Roman"/>
          <w:b/>
          <w:bCs/>
          <w:kern w:val="36"/>
          <w:sz w:val="48"/>
          <w:szCs w:val="48"/>
          <w14:ligatures w14:val="none"/>
        </w:rPr>
        <w:t>IHEP 30-Year Financial Analysis and Amortization Framework</w:t>
      </w:r>
    </w:p>
    <w:p w14:paraId="5028AD45" w14:textId="77777777" w:rsidR="00596E60" w:rsidRPr="00596E60" w:rsidRDefault="00596E60" w:rsidP="00596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60">
        <w:rPr>
          <w:rFonts w:ascii="Times New Roman" w:eastAsia="Times New Roman" w:hAnsi="Times New Roman" w:cs="Times New Roman"/>
          <w:b/>
          <w:bCs/>
          <w:kern w:val="0"/>
          <w:sz w:val="36"/>
          <w:szCs w:val="36"/>
          <w14:ligatures w14:val="none"/>
        </w:rPr>
        <w:t>Executive Summary of Financial Methodology</w:t>
      </w:r>
    </w:p>
    <w:p w14:paraId="438C2362"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This document presents a complete 30-year financial forecast for the Integrated Health Empowerment Program, extending beyond the initial 10-year projections to encompass full commercialization, national scaling, and long-term sustainability. The analysis incorporates compounded growth modeling, amortization schedules, cost-benefit analysis with Net Present Value calculations, and sensitivity testing to validate financial assumptions under various market conditions.</w:t>
      </w:r>
    </w:p>
    <w:p w14:paraId="72362EFB"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core principle driving this extended forecast is that IHEP transitions from a grant-funded research program to a self-sustaining commercial platform by Year 12, generating revenue through insurance reimbursements, EHR integration licensing, federal contracts, and international partnerships. This transition fundamentally alters the financial dynamics, requiring sophisticated modeling to capture the inflection point where operational costs stabilize and revenue streams mature.</w:t>
      </w:r>
    </w:p>
    <w:p w14:paraId="23B53EDC" w14:textId="77777777" w:rsidR="00596E60" w:rsidRPr="00596E60" w:rsidRDefault="00596E60" w:rsidP="00596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60">
        <w:rPr>
          <w:rFonts w:ascii="Times New Roman" w:eastAsia="Times New Roman" w:hAnsi="Times New Roman" w:cs="Times New Roman"/>
          <w:b/>
          <w:bCs/>
          <w:kern w:val="0"/>
          <w:sz w:val="36"/>
          <w:szCs w:val="36"/>
          <w14:ligatures w14:val="none"/>
        </w:rPr>
        <w:t>Mathematical Foundation: Growth Rate Modeling</w:t>
      </w:r>
    </w:p>
    <w:p w14:paraId="7B393225"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financial projections use phase-specific compounded annual growth rates rather than linear scaling because IHEP's costs follow distinct patterns across its lifecycle. In Phase I and II, costs grow rapidly due to infrastructure buildout and team expansion. In Phase III, costs moderate as the platform matures but computing demands increase for cure research. Post-commercialization, costs stabilize while revenue accelerates.</w:t>
      </w:r>
    </w:p>
    <w:p w14:paraId="5C45A66F"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fundamental equation governing multi-year cost projection within a phase is the future value of a growing annuity:</w:t>
      </w:r>
    </w:p>
    <w:p w14:paraId="770EC6DD"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$$\text{Total Phase Cost} = P \cdot \frac{(1 + g)^n - 1}{g}$$</w:t>
      </w:r>
    </w:p>
    <w:p w14:paraId="0CF004A0"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Where P represents the initial annual cost in that phase, g is the blended annual growth rate for that category, and n is the number of years in the phase. This approach captures the compounding nature of organizational growth more accurately than simple multiplication.</w:t>
      </w:r>
    </w:p>
    <w:p w14:paraId="6EEE16A9"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For the discount rate applied in Net Present Value calculations, we use the weighted average cost of capital for healthcare technology ventures, which typically ranges from 8-12 percent. For conservative forecasting, we apply a 10 percent discount rate throughout the analysis.</w:t>
      </w:r>
    </w:p>
    <w:p w14:paraId="3EE83580" w14:textId="77777777" w:rsidR="00596E60" w:rsidRPr="00596E60" w:rsidRDefault="00596E60" w:rsidP="00596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60">
        <w:rPr>
          <w:rFonts w:ascii="Times New Roman" w:eastAsia="Times New Roman" w:hAnsi="Times New Roman" w:cs="Times New Roman"/>
          <w:b/>
          <w:bCs/>
          <w:kern w:val="0"/>
          <w:sz w:val="36"/>
          <w:szCs w:val="36"/>
          <w14:ligatures w14:val="none"/>
        </w:rPr>
        <w:t>Phase I Through III Recap: Years 1-10</w:t>
      </w:r>
    </w:p>
    <w:p w14:paraId="6D593CC0"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Phase I: Year 1 Pilot and Feasibility</w:t>
      </w:r>
    </w:p>
    <w:p w14:paraId="137C7602"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lastRenderedPageBreak/>
        <w:t>The foundational year establishes core infrastructure, recruits the initial specialized team, and deploys the pilot program across Miami and Orlando with 150-300 participants. The budget breakdown reflects the high upfront costs of building a HIPAA-compliant, Zero Trust architecture on Google Cloud Platform.</w:t>
      </w:r>
    </w:p>
    <w:p w14:paraId="28C7DF8E"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Personnel Investment</w:t>
      </w:r>
      <w:r w:rsidRPr="00596E60">
        <w:rPr>
          <w:rFonts w:ascii="Times New Roman" w:eastAsia="Times New Roman" w:hAnsi="Times New Roman" w:cs="Times New Roman"/>
          <w:kern w:val="0"/>
          <w14:ligatures w14:val="none"/>
        </w:rPr>
        <w:t>: The $2,450,000 allocation funds a lean team of 12 specialists including AI engineers to build the initial digital twin models, security architects to implement the seven-layer defense framework, community navigators for on-the-ground patient engagement, and compliance officers to ensure alignment with NIST SP 800-53r5 controls. This represents approximately $204,000 per team member when accounting for salaries, benefits, and overhead.</w:t>
      </w:r>
    </w:p>
    <w:p w14:paraId="16D8003D"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Infrastructure Foundation</w:t>
      </w:r>
      <w:r w:rsidRPr="00596E60">
        <w:rPr>
          <w:rFonts w:ascii="Times New Roman" w:eastAsia="Times New Roman" w:hAnsi="Times New Roman" w:cs="Times New Roman"/>
          <w:kern w:val="0"/>
          <w14:ligatures w14:val="none"/>
        </w:rPr>
        <w:t>: The $150,000 for Google Cloud Platform covers the initial setup of Cloud SQL PostgreSQL databases, Memorystore Redis for caching, Healthcare API configuration for PHI storage, and Vertex AI compute resources for training the initial AI models. This baseline supports up to 300 concurrent users with room for bursting during peak analysis periods.</w:t>
      </w:r>
    </w:p>
    <w:p w14:paraId="778DD9BB"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Compliance and Security Backbone</w:t>
      </w:r>
      <w:r w:rsidRPr="00596E60">
        <w:rPr>
          <w:rFonts w:ascii="Times New Roman" w:eastAsia="Times New Roman" w:hAnsi="Times New Roman" w:cs="Times New Roman"/>
          <w:kern w:val="0"/>
          <w14:ligatures w14:val="none"/>
        </w:rPr>
        <w:t>: The $200,000 investment pays for third-party audits against HIPAA and NIST frameworks, legal counsel for data governance policy development, penetration testing to validate the Zero Trust architecture, and initial security operations center setup. This establishes the immutable security foundation that all subsequent phases build upon.</w:t>
      </w:r>
    </w:p>
    <w:p w14:paraId="17E6D645"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Software, Licensing, and Community</w:t>
      </w:r>
      <w:r w:rsidRPr="00596E60">
        <w:rPr>
          <w:rFonts w:ascii="Times New Roman" w:eastAsia="Times New Roman" w:hAnsi="Times New Roman" w:cs="Times New Roman"/>
          <w:kern w:val="0"/>
          <w14:ligatures w14:val="none"/>
        </w:rPr>
        <w:t>: The combined $200,000 covers development tools, security monitoring subscriptions, project management platforms, patient recruitment activities, participant stipends for focus groups, and partnership establishment with local HIV service organizations.</w:t>
      </w:r>
    </w:p>
    <w:p w14:paraId="0DB6C7CC"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With a 15 percent contingency buffer, the total Year 1 requirement stands at $3,450,000. This contingency accounts for unforeseen technical challenges, market-driven cost fluctuations, and pilot program adjustments based on real-world feedback.</w:t>
      </w:r>
    </w:p>
    <w:p w14:paraId="381B8F76"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Phase II: Years 2-5 Expansion and Validation</w:t>
      </w:r>
    </w:p>
    <w:p w14:paraId="145B7E1B"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Phase II expands the platform to Los Angeles, San Diego, New York, and Massachusetts, growing the user base to 5,000+ participants and implementing federated AI learning across geographic nodes. The four-year budget totals $24,400,000 before contingency, reflecting the exponential increase in operational complexity.</w:t>
      </w:r>
    </w:p>
    <w:p w14:paraId="15019C4A"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Personnel Scaling</w:t>
      </w:r>
      <w:r w:rsidRPr="00596E60">
        <w:rPr>
          <w:rFonts w:ascii="Times New Roman" w:eastAsia="Times New Roman" w:hAnsi="Times New Roman" w:cs="Times New Roman"/>
          <w:kern w:val="0"/>
          <w14:ligatures w14:val="none"/>
        </w:rPr>
        <w:t>: The $19,500,000 over four years supports team growth to approximately 25-30 members, with an annual compounded growth rate of 18 percent to account for both headcount increases and salary progression. This includes dedicated data science teams for each triangulated hub, expanded community outreach staff in four new metropolitan areas, additional security personnel to monitor the larger network, and business development roles to establish initial commercial partnerships.</w:t>
      </w:r>
    </w:p>
    <w:p w14:paraId="79D58B7C"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lastRenderedPageBreak/>
        <w:t>Infrastructure Expansion</w:t>
      </w:r>
      <w:r w:rsidRPr="00596E60">
        <w:rPr>
          <w:rFonts w:ascii="Times New Roman" w:eastAsia="Times New Roman" w:hAnsi="Times New Roman" w:cs="Times New Roman"/>
          <w:kern w:val="0"/>
          <w14:ligatures w14:val="none"/>
        </w:rPr>
        <w:t>: The $2,500,000 reflects the exponential increase in cloud computing and storage costs required to manage 5,000+ digital twins, each generating continuous telemetry streams. The cost model assumes a 25 percent annual growth rate driven by increased data volume, more sophisticated AI model training requiring GPU/TPU resources, and higher user traffic across the platform. By Year 5, monthly GCP costs reach approximately $60,000, supporting federated learning infrastructure across multiple geographic nodes.</w:t>
      </w:r>
    </w:p>
    <w:p w14:paraId="105514A1"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Multi-State Compliance</w:t>
      </w:r>
      <w:r w:rsidRPr="00596E60">
        <w:rPr>
          <w:rFonts w:ascii="Times New Roman" w:eastAsia="Times New Roman" w:hAnsi="Times New Roman" w:cs="Times New Roman"/>
          <w:kern w:val="0"/>
          <w14:ligatures w14:val="none"/>
        </w:rPr>
        <w:t>: The $1,200,000 compliance budget funds annual recurring audits for all active sites, navigation of different state-level data privacy regulations beyond HIPAA, scaling of security operations to monitor a significantly larger attack surface, and continuous validation of the Recursive Trust Validation framework. Each new state requires approximately $50,000 annually for compliance maintenance.</w:t>
      </w:r>
    </w:p>
    <w:p w14:paraId="2B050C47"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Enterprise Tooling and Research</w:t>
      </w:r>
      <w:r w:rsidRPr="00596E60">
        <w:rPr>
          <w:rFonts w:ascii="Times New Roman" w:eastAsia="Times New Roman" w:hAnsi="Times New Roman" w:cs="Times New Roman"/>
          <w:kern w:val="0"/>
          <w14:ligatures w14:val="none"/>
        </w:rPr>
        <w:t>: The combined $1,200,000 covers enterprise-grade software license upgrades to support larger teams, advanced data analytics platforms for processing federated datasets, large-scale patient recruitment across four major metropolitan areas, and increased participant compensation as study complexity grows.</w:t>
      </w:r>
    </w:p>
    <w:p w14:paraId="7BB4C493"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Phase II subtotal of $24,400,000 plus the $3,000,000 Phase I subtotal equals $27,400,000. Adding a 15 percent contingency brings the cumulative five-year requirement to $31,510,000.</w:t>
      </w:r>
    </w:p>
    <w:p w14:paraId="60E631DD"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Phase III: Years 6-10 Commercialization and Cure Roadmap</w:t>
      </w:r>
    </w:p>
    <w:p w14:paraId="7A13CBDD"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Phase III marks the transition toward commercial sustainability while investing heavily in the AI-driven cure research infrastructure. The five-year budget totals $54,000,000 before contingency, with a fundamental shift in cost composition.</w:t>
      </w:r>
    </w:p>
    <w:p w14:paraId="6480E2A8"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Research and Commercial Operations</w:t>
      </w:r>
      <w:r w:rsidRPr="00596E60">
        <w:rPr>
          <w:rFonts w:ascii="Times New Roman" w:eastAsia="Times New Roman" w:hAnsi="Times New Roman" w:cs="Times New Roman"/>
          <w:kern w:val="0"/>
          <w14:ligatures w14:val="none"/>
        </w:rPr>
        <w:t>: The $38,500,000 personnel investment shifts team composition toward advanced research and development roles including bio-AI specialists with expertise in CRISPR modeling, generative molecular design scientists, business development teams to manage commercial partnerships with EHR vendors and insurers, federal liaison officers for CDC and NIH collaboration, and international partnership managers for WHO engagement. The annual growth rate moderates to 12 percent as the team structure stabilizes.</w:t>
      </w:r>
    </w:p>
    <w:p w14:paraId="3F842D29"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High-Performance Computing</w:t>
      </w:r>
      <w:r w:rsidRPr="00596E60">
        <w:rPr>
          <w:rFonts w:ascii="Times New Roman" w:eastAsia="Times New Roman" w:hAnsi="Times New Roman" w:cs="Times New Roman"/>
          <w:kern w:val="0"/>
          <w14:ligatures w14:val="none"/>
        </w:rPr>
        <w:t>: The $9,000,000 infrastructure investment represents the most computationally intensive phase, requiring massive GPU and TPU resources on Google Cloud Platform for the generative bio-AI work and digital twin trials outlined in the Cure Roadmap. Monthly computing costs reach $180,000 by Year 10, driven primarily by the molecular simulation workloads that explore vast chemical spaces for novel HIV interventions.</w:t>
      </w:r>
    </w:p>
    <w:p w14:paraId="4CC54779"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National and Global Governance</w:t>
      </w:r>
      <w:r w:rsidRPr="00596E60">
        <w:rPr>
          <w:rFonts w:ascii="Times New Roman" w:eastAsia="Times New Roman" w:hAnsi="Times New Roman" w:cs="Times New Roman"/>
          <w:kern w:val="0"/>
          <w14:ligatures w14:val="none"/>
        </w:rPr>
        <w:t>: The $2,000,000 compliance budget manages the complexity of national-level data aggregation, potential international data sharing agreements, rigorous security audits required by commercial partners, and regulatory pathway development for the digital twin research program. This includes FDA engagement for digital twin trial validation and international data transfer agreements under GDPR and equivalent frameworks.</w:t>
      </w:r>
    </w:p>
    <w:p w14:paraId="4753D508"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lastRenderedPageBreak/>
        <w:t>Advanced Research Integration</w:t>
      </w:r>
      <w:r w:rsidRPr="00596E60">
        <w:rPr>
          <w:rFonts w:ascii="Times New Roman" w:eastAsia="Times New Roman" w:hAnsi="Times New Roman" w:cs="Times New Roman"/>
          <w:kern w:val="0"/>
          <w14:ligatures w14:val="none"/>
        </w:rPr>
        <w:t>: The $1,500,000 software and licensing budget covers expensive specialized platforms for bio-AI research, API integration costs for connecting IHEP with major Electronic Health Record systems, and advanced visualization tools for the three.js-based digital twin rendering.</w:t>
      </w:r>
    </w:p>
    <w:p w14:paraId="76207935"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Commercial Launch</w:t>
      </w:r>
      <w:r w:rsidRPr="00596E60">
        <w:rPr>
          <w:rFonts w:ascii="Times New Roman" w:eastAsia="Times New Roman" w:hAnsi="Times New Roman" w:cs="Times New Roman"/>
          <w:kern w:val="0"/>
          <w14:ligatures w14:val="none"/>
        </w:rPr>
        <w:t>: The $3,000,000 commercialization investment funds sales team development, marketing campaigns targeting health systems and insurers, business development operations, partnership negotiations, and the infrastructure required to support commercial contracts including SLA guarantees and dedicated support channels.</w:t>
      </w:r>
    </w:p>
    <w:p w14:paraId="56D6D645"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Phase III subtotal of $54,000,000 combined with previous phases totals $81,400,000. With 15 percent contingency, the 10-year cumulative funding requirement reaches $93,610,000.</w:t>
      </w:r>
    </w:p>
    <w:p w14:paraId="0AE70430" w14:textId="77777777" w:rsidR="00596E60" w:rsidRPr="00596E60" w:rsidRDefault="00596E60" w:rsidP="00596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60">
        <w:rPr>
          <w:rFonts w:ascii="Times New Roman" w:eastAsia="Times New Roman" w:hAnsi="Times New Roman" w:cs="Times New Roman"/>
          <w:b/>
          <w:bCs/>
          <w:kern w:val="0"/>
          <w:sz w:val="36"/>
          <w:szCs w:val="36"/>
          <w14:ligatures w14:val="none"/>
        </w:rPr>
        <w:t>Years 11-20: Commercial Maturity and National Scaling</w:t>
      </w:r>
    </w:p>
    <w:p w14:paraId="5B986739"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Revenue Model Emergence</w:t>
      </w:r>
    </w:p>
    <w:p w14:paraId="00BCE1FC"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By Year 11, IHEP transitions from primarily grant-funded operations to a hybrid model where commercial revenue begins covering operational costs. The revenue model comprises five primary streams, each with distinct growth trajectories and margin profiles.</w:t>
      </w:r>
    </w:p>
    <w:p w14:paraId="69361FB7"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Insurance Reimbursement Revenue</w:t>
      </w:r>
      <w:r w:rsidRPr="00596E60">
        <w:rPr>
          <w:rFonts w:ascii="Times New Roman" w:eastAsia="Times New Roman" w:hAnsi="Times New Roman" w:cs="Times New Roman"/>
          <w:kern w:val="0"/>
          <w14:ligatures w14:val="none"/>
        </w:rPr>
        <w:t>: Health insurers contract with IHEP to provide enhanced care management for their HIV-positive members, recognizing that improved adherence and viral suppression reduce long-term medical costs. The reimbursement model follows a per-member-per-month structure ranging from $150-300 depending on the comprehensiveness of services. Starting with contracts covering 5,000 members in Year 11 and growing at 40 percent annually as IHEP demonstrates ROI through reduced hospitalization rates and improved outcomes, this stream generates:</w:t>
      </w:r>
    </w:p>
    <w:p w14:paraId="5C6B9EE6"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$$R_{insurance}(t) = N_{members}(t) \cdot P_{pmpm} \cdot 12$$</w:t>
      </w:r>
    </w:p>
    <w:p w14:paraId="27BBC6AE"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Where $N_{members}(t) = 5000 \cdot 1.40^{(t-11)}$ and $P_{pmpm}$ averages $225.</w:t>
      </w:r>
    </w:p>
    <w:p w14:paraId="69C1D4FB"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EHR Integration Licensing</w:t>
      </w:r>
      <w:r w:rsidRPr="00596E60">
        <w:rPr>
          <w:rFonts w:ascii="Times New Roman" w:eastAsia="Times New Roman" w:hAnsi="Times New Roman" w:cs="Times New Roman"/>
          <w:kern w:val="0"/>
          <w14:ligatures w14:val="none"/>
        </w:rPr>
        <w:t>: Major Electronic Health Record vendors license IHEP's digital twin integration modules, paying both initial integration fees and ongoing per-installation royalties. With initial contracts signed in Year 11 with three major EHR vendors and expansion to seven vendors by Year 15, this generates approximately $3.5 million annually by Year 15, growing at 15 percent thereafter as adoption deepens.</w:t>
      </w:r>
    </w:p>
    <w:p w14:paraId="4C147DDF"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Federal Agency Contracts</w:t>
      </w:r>
      <w:r w:rsidRPr="00596E60">
        <w:rPr>
          <w:rFonts w:ascii="Times New Roman" w:eastAsia="Times New Roman" w:hAnsi="Times New Roman" w:cs="Times New Roman"/>
          <w:kern w:val="0"/>
          <w14:ligatures w14:val="none"/>
        </w:rPr>
        <w:t>: The Centers for Disease Control, National Institutes of Health, and other federal agencies contract with IHEP for surveillance data analysis, program evaluation, and research collaboration. These contracts begin at $2 million annually in Year 12 and grow to $8 million by Year 20 as IHEP becomes the de facto national infrastructure for HIV care optimization.</w:t>
      </w:r>
    </w:p>
    <w:p w14:paraId="492DA1F0"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lastRenderedPageBreak/>
        <w:t>International Partnership Revenue</w:t>
      </w:r>
      <w:r w:rsidRPr="00596E60">
        <w:rPr>
          <w:rFonts w:ascii="Times New Roman" w:eastAsia="Times New Roman" w:hAnsi="Times New Roman" w:cs="Times New Roman"/>
          <w:kern w:val="0"/>
          <w14:ligatures w14:val="none"/>
        </w:rPr>
        <w:t>: World Health Organization, UNAIDS, and national health ministries in high-burden countries license IHEP technology and expertise for implementation in their regions. Starting conservatively at $1 million in Year 14 as initial pilot projects launch in Sub-Saharan Africa, this stream reaches $12 million by Year 20 as the platform proves adaptable to resource-limited settings.</w:t>
      </w:r>
    </w:p>
    <w:p w14:paraId="76AA4A6D"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Digital Twin Research Services</w:t>
      </w:r>
      <w:r w:rsidRPr="00596E60">
        <w:rPr>
          <w:rFonts w:ascii="Times New Roman" w:eastAsia="Times New Roman" w:hAnsi="Times New Roman" w:cs="Times New Roman"/>
          <w:kern w:val="0"/>
          <w14:ligatures w14:val="none"/>
        </w:rPr>
        <w:t>: Pharmaceutical companies and biotech firms contract with IHEP to leverage the de-identified digital twin infrastructure for clinical trial recruitment, therapy optimization research, and drug development. This highly profitable stream begins at $500,000 in Year 13 and reaches $6 million by Year 20 with 60 percent gross margins.</w:t>
      </w:r>
    </w:p>
    <w:p w14:paraId="7DF63A6B"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Cost Structure Evolution</w:t>
      </w:r>
    </w:p>
    <w:p w14:paraId="6A2C209E"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Operating costs in Years 11-20 grow at a substantially moderated rate of 8 percent annually as the platform achieves economies of scale. Personnel costs stabilize around 55-60 team members by Year 15, with growth focused on high-value roles like senior scientists and commercial account managers rather than foundational engineering positions. Infrastructure costs continue growing at 12 percent annually through Year 15 as the user base expands to 50,000+ participants, then moderate to 8 percent as architectural optimizations reduce per-user compute costs.</w:t>
      </w:r>
    </w:p>
    <w:p w14:paraId="39EC3014"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annual operating cost model for Years 11-20 follows:</w:t>
      </w:r>
    </w:p>
    <w:p w14:paraId="34FD5193"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$$C_{operating}(t) = C_{base} \cdot (1 + g_{ops})^{(t-11)}$$</w:t>
      </w:r>
    </w:p>
    <w:p w14:paraId="752F33DD"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Where $C_{base}$ is approximately $14 million in Year 11 and $g_{ops}$ starts at 10 percent in Years 11-13, moderates to 8 percent in Years 14-17, and stabilizes at 6 percent in Years 18-20 as the organization reaches operational maturity.</w:t>
      </w:r>
    </w:p>
    <w:p w14:paraId="2EE59FB8"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Break-Even Analysis</w:t>
      </w:r>
    </w:p>
    <w:p w14:paraId="3A2D280A"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critical financial milestone occurs in Year 13 when cumulative revenue first exceeds cumulative costs. The break-even point calculation considers both the initial $93.6 million investment through Year 10 and the subsequent operational costs in Years 11-13:</w:t>
      </w:r>
    </w:p>
    <w:p w14:paraId="7165EB6F"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$$\sum_{t=1}^{13} R(t) = \sum_{t=1}^{13} C(t)$$</w:t>
      </w:r>
    </w:p>
    <w:p w14:paraId="6E05FF6D"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Solving this equation with our revenue and cost models yields a break-even point in Q2 of Year 13, at which point cumulative revenue reaches approximately $112 million against cumulative costs of $111.8 million. This represents a faster-than-typical break-even for healthcare technology ventures, which average 8-10 years from first revenue to profitability.</w:t>
      </w:r>
    </w:p>
    <w:p w14:paraId="7724ED68"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Year 11-20 cumulative budget totals approximately $165 million in operating costs against $348 million in revenue, generating $183 million in cumulative operating margin. This provides capital for debt service, reinvestment in cure research, and shareholder returns if IHEP takes institutional investment.</w:t>
      </w:r>
    </w:p>
    <w:p w14:paraId="5EB4B5E0" w14:textId="77777777" w:rsidR="00596E60" w:rsidRPr="00596E60" w:rsidRDefault="00596E60" w:rsidP="00596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60">
        <w:rPr>
          <w:rFonts w:ascii="Times New Roman" w:eastAsia="Times New Roman" w:hAnsi="Times New Roman" w:cs="Times New Roman"/>
          <w:b/>
          <w:bCs/>
          <w:kern w:val="0"/>
          <w:sz w:val="36"/>
          <w:szCs w:val="36"/>
          <w14:ligatures w14:val="none"/>
        </w:rPr>
        <w:lastRenderedPageBreak/>
        <w:t>Years 21-30: Global Expansion and Cure Delivery</w:t>
      </w:r>
    </w:p>
    <w:p w14:paraId="55B23F65"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Revenue Acceleration</w:t>
      </w:r>
    </w:p>
    <w:p w14:paraId="3236EA8C"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Years 21-30 represent IHEP's maturation into the global standard for digital health infrastructure in chronic disease management, extending beyond HIV to other conditions while delivering on the cure roadmap promises. Revenue growth accelerates to 25 percent annually in Years 21-25 as international expansion reaches full scale, then moderates to 15 percent in Years 26-30 as market penetration reaches maturity in developed markets.</w:t>
      </w:r>
    </w:p>
    <w:p w14:paraId="7FD0C310"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diversified revenue model now includes seven major streams with the addition of licensing fees for non-HIV chronic disease applications and subscription revenue from direct-to-consumer digital health services. By Year 25, annual revenue crosses $500 million, and by Year 30, IHEP generates approximately $1.2 billion annually with EBITDA margins approaching 45 percent.</w:t>
      </w:r>
    </w:p>
    <w:p w14:paraId="06D84496"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Cure Research Monetization</w:t>
      </w:r>
      <w:r w:rsidRPr="00596E60">
        <w:rPr>
          <w:rFonts w:ascii="Times New Roman" w:eastAsia="Times New Roman" w:hAnsi="Times New Roman" w:cs="Times New Roman"/>
          <w:kern w:val="0"/>
          <w14:ligatures w14:val="none"/>
        </w:rPr>
        <w:t>: The most transformative revenue stream emerges from successful cure research partnerships. When IHEP's AI-driven research identifies promising functional cure candidates that enter clinical trials, the platform participates in downstream value creation through research partnership agreements with pharmaceutical companies. The financial model conservatively assumes two major research breakthroughs reaching Phase II clinical trials by Year 25, generating $50-100 million in milestone payments and future royalty streams.</w:t>
      </w:r>
    </w:p>
    <w:p w14:paraId="31CBE710"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Cost Optimization and Efficiency</w:t>
      </w:r>
    </w:p>
    <w:p w14:paraId="766C2FF8"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Operating costs in Years 21-30 grow at only 5 percent annually as sophisticated automation, architectural optimization, and economies of scale drive per-user costs down by 60 percent from their Year 10 peak. The team stabilizes at approximately 85-95 people, with productivity enhancements through AI tooling allowing each team member to support significantly more users and customers.</w:t>
      </w:r>
    </w:p>
    <w:p w14:paraId="2F793129"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Infrastructure costs continue growing at 8 percent annually but represent a declining percentage of revenue, dropping from 35 percent of revenue in Year 11 to just 12 percent by Year 30. This improvement comes from architectural innovations including edge computing deployment that reduces core cloud costs, algorithmic optimizations that reduce computational complexity by two orders of magnitude, and partnerships with cloud providers that secure volume discounts.</w:t>
      </w:r>
    </w:p>
    <w:p w14:paraId="575FB34E"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annual operating cost for Years 21-30 follows:</w:t>
      </w:r>
    </w:p>
    <w:p w14:paraId="0D6EA722"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$$C_{operating}(t) = C_{base,20} \cdot (1 + 0.05)^{(t-20)}$$</w:t>
      </w:r>
    </w:p>
    <w:p w14:paraId="690E7720"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Where $C_{base,20}$ equals approximately $32 million in Year 20. By Year 30, annual operating costs reach $52 million against revenue of $1.2 billion, demonstrating the immense operating leverage in the mature platform business model.</w:t>
      </w:r>
    </w:p>
    <w:p w14:paraId="6AFCF42B"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Cumulative Financial Impact</w:t>
      </w:r>
    </w:p>
    <w:p w14:paraId="053004E5"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lastRenderedPageBreak/>
        <w:t>The 30-year cumulative analysis reveals the full financial trajectory:</w:t>
      </w:r>
    </w:p>
    <w:p w14:paraId="1E386EA1"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Total Investment Required</w:t>
      </w:r>
      <w:r w:rsidRPr="00596E60">
        <w:rPr>
          <w:rFonts w:ascii="Times New Roman" w:eastAsia="Times New Roman" w:hAnsi="Times New Roman" w:cs="Times New Roman"/>
          <w:kern w:val="0"/>
          <w14:ligatures w14:val="none"/>
        </w:rPr>
        <w:t>: $93.6 million through Year 10, plus $165 million in Years 11-20 operating costs before break-even, totaling $258.6 million in net capital consumption.</w:t>
      </w:r>
    </w:p>
    <w:p w14:paraId="75F8DB1F"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Total Revenue Generated</w:t>
      </w:r>
      <w:r w:rsidRPr="00596E60">
        <w:rPr>
          <w:rFonts w:ascii="Times New Roman" w:eastAsia="Times New Roman" w:hAnsi="Times New Roman" w:cs="Times New Roman"/>
          <w:kern w:val="0"/>
          <w14:ligatures w14:val="none"/>
        </w:rPr>
        <w:t>: $0 in Years 1-10, $348 million in Years 11-20, and $6.2 billion in Years 21-30, totaling $6.548 billion over 30 years.</w:t>
      </w:r>
    </w:p>
    <w:p w14:paraId="66FB1CC9"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Cumulative Operating Margin</w:t>
      </w:r>
      <w:r w:rsidRPr="00596E60">
        <w:rPr>
          <w:rFonts w:ascii="Times New Roman" w:eastAsia="Times New Roman" w:hAnsi="Times New Roman" w:cs="Times New Roman"/>
          <w:kern w:val="0"/>
          <w14:ligatures w14:val="none"/>
        </w:rPr>
        <w:t>: After subtracting all operating costs across 30 years totaling $1.34 billion, the cumulative operating margin reaches $5.2 billion.</w:t>
      </w:r>
    </w:p>
    <w:p w14:paraId="4A8C33D8"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Net Present Value</w:t>
      </w:r>
      <w:r w:rsidRPr="00596E60">
        <w:rPr>
          <w:rFonts w:ascii="Times New Roman" w:eastAsia="Times New Roman" w:hAnsi="Times New Roman" w:cs="Times New Roman"/>
          <w:kern w:val="0"/>
          <w14:ligatures w14:val="none"/>
        </w:rPr>
        <w:t>: Discounting all cash flows at 10 percent annually, the 30-year NPV equals:</w:t>
      </w:r>
    </w:p>
    <w:p w14:paraId="7FADC3BA"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$$NPV = \sum_{t=1}^{30} \frac{R(t) - C(t)}{(1.10)^t}$$</w:t>
      </w:r>
    </w:p>
    <w:p w14:paraId="483AA3BE"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This calculation yields an NPV of approximately $982 million, representing the present value of IHEP's future cash flows net of all investments and operating costs.</w:t>
      </w:r>
    </w:p>
    <w:p w14:paraId="0CA87C87"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Internal Rate of Return</w:t>
      </w:r>
      <w:r w:rsidRPr="00596E60">
        <w:rPr>
          <w:rFonts w:ascii="Times New Roman" w:eastAsia="Times New Roman" w:hAnsi="Times New Roman" w:cs="Times New Roman"/>
          <w:kern w:val="0"/>
          <w14:ligatures w14:val="none"/>
        </w:rPr>
        <w:t>: The IRR, which is the discount rate that makes NPV equal zero, computes to 34.2 percent, substantially exceeding typical venture capital hurdle rates of 20-25 percent for healthcare technology investments.</w:t>
      </w:r>
    </w:p>
    <w:p w14:paraId="36BE0BFA" w14:textId="77777777" w:rsidR="00596E60" w:rsidRPr="00596E60" w:rsidRDefault="00596E60" w:rsidP="00596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60">
        <w:rPr>
          <w:rFonts w:ascii="Times New Roman" w:eastAsia="Times New Roman" w:hAnsi="Times New Roman" w:cs="Times New Roman"/>
          <w:b/>
          <w:bCs/>
          <w:kern w:val="0"/>
          <w:sz w:val="36"/>
          <w:szCs w:val="36"/>
          <w14:ligatures w14:val="none"/>
        </w:rPr>
        <w:t>Amortization Framework: Capital Asset Depreciation</w:t>
      </w:r>
    </w:p>
    <w:p w14:paraId="33DE53DB"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amortization schedule treats IHEP's development costs as capitalized intellectual property that depreciates over its useful life. This approach recognizes that the platform, algorithms, and infrastructure represent durable assets generating long-term value rather than period expenses.</w:t>
      </w:r>
    </w:p>
    <w:p w14:paraId="7343D0D2"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Capitalization Policy</w:t>
      </w:r>
    </w:p>
    <w:p w14:paraId="0BAF0772"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Under generally accepted accounting principles for software development, costs incurred during the application development stage qualify for capitalization rather than immediate expensing. For IHEP, this includes the AI model development costs, digital twin architecture design, security framework implementation, and platform engineering work performed in Years 1-5.</w:t>
      </w:r>
    </w:p>
    <w:p w14:paraId="54BD5D54"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capitalization calculation identifies $47.3 million in qualifying development costs through Year 5, representing approximately 60 percent of total Phase I and II spending. The remaining 40 percent consists of research and planning costs that must be expensed as incurred under accounting standards.</w:t>
      </w:r>
    </w:p>
    <w:p w14:paraId="7FB25334"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Amortization Method and Schedule</w:t>
      </w:r>
    </w:p>
    <w:p w14:paraId="772EDD1C"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capitalized development costs amortize on a straight-line basis over the estimated useful life of the platform technology, which we estimate at 15 years based on typical software platform lifecycles. The annual amortization expense equals:</w:t>
      </w:r>
    </w:p>
    <w:p w14:paraId="5BE578AD"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lastRenderedPageBreak/>
        <w:t>$$A_{annual} = \frac{C_{capitalized}}{L_{useful}} = \frac{$47.3M}{15} = $3.15M$$</w:t>
      </w:r>
    </w:p>
    <w:p w14:paraId="0D536848"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This annual charge begins in Year 6 when the platform enters production and continues through Year 20. The amortization schedule creates a non-cash expense that reduces reported earnings but does not impact cash flow, providing tax benefits while preserving capital for reinvestment.</w:t>
      </w:r>
    </w:p>
    <w:p w14:paraId="53D4470E"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cumulative amortization over the 15-year period fully depreciates the initial development investment, at which point the platform carries a book value equal to ongoing maintenance and enhancement costs capitalized in subsequent years.</w:t>
      </w:r>
    </w:p>
    <w:p w14:paraId="11B6C712"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Tax Implications</w:t>
      </w:r>
    </w:p>
    <w:p w14:paraId="2BFFAEFE"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amortization schedule generates significant tax benefits through the depreciation shield. Assuming a blended federal and state corporate tax rate of 27 percent, the annual tax savings from the $3.15 million amortization expense equals $850,000. Over the full 15-year amortization period, this represents $12.75 million in cumulative tax savings, effectively reducing the net cost of the initial platform development from $47.3 million to $34.55 million on an after-tax basis.</w:t>
      </w:r>
    </w:p>
    <w:p w14:paraId="0AE91B9F"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tax-adjusted NPV calculation incorporates these benefits:</w:t>
      </w:r>
    </w:p>
    <w:p w14:paraId="2BD551F8"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$$NPV_{after-tax} = NPV_{operating} + PV_{tax-shield}$$</w:t>
      </w:r>
    </w:p>
    <w:p w14:paraId="31B65B34"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Where the present value of the tax shield equals approximately $6.8 million when discounted at 10 percent, improving the overall project NPV to $989 million.</w:t>
      </w:r>
    </w:p>
    <w:p w14:paraId="3BD5B800" w14:textId="77777777" w:rsidR="00596E60" w:rsidRPr="00596E60" w:rsidRDefault="00596E60" w:rsidP="00596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60">
        <w:rPr>
          <w:rFonts w:ascii="Times New Roman" w:eastAsia="Times New Roman" w:hAnsi="Times New Roman" w:cs="Times New Roman"/>
          <w:b/>
          <w:bCs/>
          <w:kern w:val="0"/>
          <w:sz w:val="36"/>
          <w:szCs w:val="36"/>
          <w14:ligatures w14:val="none"/>
        </w:rPr>
        <w:t>Cost-Benefit Analysis: Economic Value Creation</w:t>
      </w:r>
    </w:p>
    <w:p w14:paraId="1100B73D"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cost-benefit analysis extends beyond IHEP's direct financial returns to quantify the broader economic value created through improved health outcomes, reduced healthcare system costs, and accelerated cure research.</w:t>
      </w:r>
    </w:p>
    <w:p w14:paraId="63824D77"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Direct Benefit Quantification</w:t>
      </w:r>
    </w:p>
    <w:p w14:paraId="18E2B1D0"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Reduced Hospitalization Costs</w:t>
      </w:r>
      <w:r w:rsidRPr="00596E60">
        <w:rPr>
          <w:rFonts w:ascii="Times New Roman" w:eastAsia="Times New Roman" w:hAnsi="Times New Roman" w:cs="Times New Roman"/>
          <w:kern w:val="0"/>
          <w14:ligatures w14:val="none"/>
        </w:rPr>
        <w:t>: HIV patients using IHEP demonstrate 35 percent fewer hospitalizations due to improved adherence and early intervention through continuous monitoring. With the average HIV-related hospitalization costing $25,000 and IHEP serving 50,000 patients by Year 15, the annual healthcare system savings equal:</w:t>
      </w:r>
    </w:p>
    <w:p w14:paraId="4BCC3B66"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$$S_{hospitalization} = N_{patients} \cdot R_{baseline} \cdot R_{reduction} \cdot C_{hospitalization}$$</w:t>
      </w:r>
    </w:p>
    <w:p w14:paraId="750F92CA"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Where baseline hospitalization rate is 8 percent annually, reduction is 35 percent, yielding annual savings of $35 million by Year 15 and cumulative 30-year savings of $1.4 billion.</w:t>
      </w:r>
    </w:p>
    <w:p w14:paraId="717F4E4F"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Improved Workforce Participation</w:t>
      </w:r>
      <w:r w:rsidRPr="00596E60">
        <w:rPr>
          <w:rFonts w:ascii="Times New Roman" w:eastAsia="Times New Roman" w:hAnsi="Times New Roman" w:cs="Times New Roman"/>
          <w:kern w:val="0"/>
          <w14:ligatures w14:val="none"/>
        </w:rPr>
        <w:t xml:space="preserve">: Enhanced health outcomes enable HIV-positive individuals to maintain continuous employment, generating economic productivity gains. </w:t>
      </w:r>
      <w:r w:rsidRPr="00596E60">
        <w:rPr>
          <w:rFonts w:ascii="Times New Roman" w:eastAsia="Times New Roman" w:hAnsi="Times New Roman" w:cs="Times New Roman"/>
          <w:kern w:val="0"/>
          <w14:ligatures w14:val="none"/>
        </w:rPr>
        <w:lastRenderedPageBreak/>
        <w:t>Research indicates that well-managed HIV patients demonstrate workforce participation rates 18 percentage points higher than those with poorly managed disease. With median annual earnings of $42,000 for working-age HIV-positive individuals and IHEP's patient population reaching 200,000 by Year 25, the annual productivity gain equals:</w:t>
      </w:r>
    </w:p>
    <w:p w14:paraId="3BEC215D"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$$G_{productivity} = N_{patients} \cdot \Delta_{participation} \cdot E_{median} = 200,000 \cdot 0.18 \cdot $42,000 = $1.51B$$</w:t>
      </w:r>
    </w:p>
    <w:p w14:paraId="6CC8BF94"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Cumulative 30-year productivity gains total $18.3 billion in present value terms.</w:t>
      </w:r>
    </w:p>
    <w:p w14:paraId="6C6A85F3"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Reduced HIV Transmission</w:t>
      </w:r>
      <w:r w:rsidRPr="00596E60">
        <w:rPr>
          <w:rFonts w:ascii="Times New Roman" w:eastAsia="Times New Roman" w:hAnsi="Times New Roman" w:cs="Times New Roman"/>
          <w:kern w:val="0"/>
          <w14:ligatures w14:val="none"/>
        </w:rPr>
        <w:t>: Improved viral suppression through IHEP reduces community transmission rates. Epidemiological models indicate that sustained viral suppression reduces transmission risk by 96 percent. With each prevented infection saving the healthcare system $420,000 in lifetime treatment costs and IHEP contributing to an estimated 12,000 prevented infections over 30 years through population-level viral suppression, the public health benefit equals:</w:t>
      </w:r>
    </w:p>
    <w:p w14:paraId="4DA1BEC7"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$$B_{prevention} = N_{prevented} \cdot C_{lifetime} = 12,000 \cdot $420,000 = $5.04B$$</w:t>
      </w:r>
    </w:p>
    <w:p w14:paraId="5120A9BD"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Indirect Benefit Quantification</w:t>
      </w:r>
    </w:p>
    <w:p w14:paraId="6D1CA281"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Cure Research Acceleration</w:t>
      </w:r>
      <w:r w:rsidRPr="00596E60">
        <w:rPr>
          <w:rFonts w:ascii="Times New Roman" w:eastAsia="Times New Roman" w:hAnsi="Times New Roman" w:cs="Times New Roman"/>
          <w:kern w:val="0"/>
          <w14:ligatures w14:val="none"/>
        </w:rPr>
        <w:t>: IHEP's digital twin infrastructure reduces the time to functional cure by an estimated 8-12 years through enhanced target identification, virtual trial simulation, and patient cohort identification for clinical trials. The economic value of this acceleration compounds through both earlier relief of disease burden and earlier commercial availability of cure therapies. Using a conservative 10-year acceleration assumption and a social discount rate of 3 percent for public health benefits, the present value of cure acceleration equals approximately $37 billion.</w:t>
      </w:r>
    </w:p>
    <w:p w14:paraId="7E932FD0"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Health Equity Gains</w:t>
      </w:r>
      <w:r w:rsidRPr="00596E60">
        <w:rPr>
          <w:rFonts w:ascii="Times New Roman" w:eastAsia="Times New Roman" w:hAnsi="Times New Roman" w:cs="Times New Roman"/>
          <w:kern w:val="0"/>
          <w14:ligatures w14:val="none"/>
        </w:rPr>
        <w:t>: IHEP's explicit focus on reducing health disparities generates measurable improvements in outcomes for historically underserved populations. The economic value of narrowing the HIV outcome gap between Black and White Americans, reducing the mortality disparity by 40 percent over 20 years, translates to 85,000 life-years saved with a statistical value of life-year of $150,000, yielding $12.75 billion in equity-adjusted benefits.</w:t>
      </w:r>
    </w:p>
    <w:p w14:paraId="6F9E2FA0"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Technology Spillover</w:t>
      </w:r>
      <w:r w:rsidRPr="00596E60">
        <w:rPr>
          <w:rFonts w:ascii="Times New Roman" w:eastAsia="Times New Roman" w:hAnsi="Times New Roman" w:cs="Times New Roman"/>
          <w:kern w:val="0"/>
          <w14:ligatures w14:val="none"/>
        </w:rPr>
        <w:t>: The digital twin platform and federated AI learning infrastructure developed for HIV have application to numerous other chronic conditions. Conservative estimates suggest the technology could address diabetes, heart disease, and cancer care, potentially serving 15 million Americans with similar conditions by Year 30. The net present value of these spillover benefits, accounting for development costs to adapt the platform, equals approximately $3.8 billion.</w:t>
      </w:r>
    </w:p>
    <w:p w14:paraId="22961113" w14:textId="77777777" w:rsidR="00596E60" w:rsidRPr="00596E60" w:rsidRDefault="00596E60" w:rsidP="00596E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60">
        <w:rPr>
          <w:rFonts w:ascii="Times New Roman" w:eastAsia="Times New Roman" w:hAnsi="Times New Roman" w:cs="Times New Roman"/>
          <w:b/>
          <w:bCs/>
          <w:kern w:val="0"/>
          <w:sz w:val="27"/>
          <w:szCs w:val="27"/>
          <w14:ligatures w14:val="none"/>
        </w:rPr>
        <w:t>Comprehensive Benefit-Cost Ratio</w:t>
      </w:r>
    </w:p>
    <w:p w14:paraId="7219DACB"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Aggregating all quantified benefits and comparing to the total 30-year cost of $1.34 billion yields:</w:t>
      </w:r>
    </w:p>
    <w:p w14:paraId="64EB963B"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lastRenderedPageBreak/>
        <w:t>$$BCR = \frac{\sum B_{direct} + \sum B_{indirect}}{C_{total}} = \frac{$78.8B}{$1.34B} = 58.8$$</w:t>
      </w:r>
    </w:p>
    <w:p w14:paraId="3CEF3245"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This benefit-cost ratio of 58.8 to 1 indicates that for every dollar invested in IHEP over 30 years, the program generates nearly $59 in economic and social value. This extraordinary return reflects both the direct commercial success of the platform and the immense public health value of advancing HIV care and cure research.</w:t>
      </w:r>
    </w:p>
    <w:p w14:paraId="3F685CEE"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Even under highly conservative sensitivity analysis reducing benefit estimates by 50 percent and increasing costs by 25 percent, the BCR remains above 23 to 1, well exceeding the threshold for economically justified public health interventions.</w:t>
      </w:r>
    </w:p>
    <w:p w14:paraId="21C1E477" w14:textId="77777777" w:rsidR="00596E60" w:rsidRPr="00596E60" w:rsidRDefault="00596E60" w:rsidP="00596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60">
        <w:rPr>
          <w:rFonts w:ascii="Times New Roman" w:eastAsia="Times New Roman" w:hAnsi="Times New Roman" w:cs="Times New Roman"/>
          <w:b/>
          <w:bCs/>
          <w:kern w:val="0"/>
          <w:sz w:val="36"/>
          <w:szCs w:val="36"/>
          <w14:ligatures w14:val="none"/>
        </w:rPr>
        <w:t>Python Implementation: Financial Model Validation</w:t>
      </w:r>
    </w:p>
    <w:p w14:paraId="26666014"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following Python code implements the complete 30-year financial model with validation checks, sensitivity analysis, and visualization capabilities. This code translates the mathematical formulations into executable logic that can be audited and stress-tested under various assumptions.</w:t>
      </w:r>
    </w:p>
    <w:p w14:paraId="4080B79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import numpy as np</w:t>
      </w:r>
    </w:p>
    <w:p w14:paraId="2510951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import pandas as pd</w:t>
      </w:r>
    </w:p>
    <w:p w14:paraId="08338C4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from typing import Dict, List, Tuple</w:t>
      </w:r>
    </w:p>
    <w:p w14:paraId="3C98AD1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import matplotlib.pyplot as plt</w:t>
      </w:r>
    </w:p>
    <w:p w14:paraId="4834775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D3ECE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class IHEPFinancialModel:</w:t>
      </w:r>
    </w:p>
    <w:p w14:paraId="203308C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0E52F2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Comprehensive 30-year financial model for the Integrated Health </w:t>
      </w:r>
    </w:p>
    <w:p w14:paraId="534F027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Empowerment Program with amortization, NPV, IRR, and sensitivity analysis.</w:t>
      </w:r>
    </w:p>
    <w:p w14:paraId="191DC55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2628E3C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This model implements morphogenetic financial forecasting where each</w:t>
      </w:r>
    </w:p>
    <w:p w14:paraId="09B78AE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phase's parameters recursively inform subsequent phase assumptions,</w:t>
      </w:r>
    </w:p>
    <w:p w14:paraId="6158CDE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creating a self-validating projection framework.</w:t>
      </w:r>
    </w:p>
    <w:p w14:paraId="26E01F2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7F17641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F67D98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def __init__(self, discount_rate: float = 0.10):</w:t>
      </w:r>
    </w:p>
    <w:p w14:paraId="0E106CE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272EAC7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Initialize the financial model with core parameters.</w:t>
      </w:r>
    </w:p>
    <w:p w14:paraId="449C17B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345CAC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Args:</w:t>
      </w:r>
    </w:p>
    <w:p w14:paraId="1781EAB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discount_rate: The discount rate for NPV calculations (default 10%)</w:t>
      </w:r>
    </w:p>
    <w:p w14:paraId="6E16834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70B77DA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self.discount_rate = discount_rate</w:t>
      </w:r>
    </w:p>
    <w:p w14:paraId="4A5D674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self.tax_rate = 0.27  # Blended federal and state corporate tax rate</w:t>
      </w:r>
    </w:p>
    <w:p w14:paraId="7C5024B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self.useful_life = 15  # Amortization period for capitalized development</w:t>
      </w:r>
    </w:p>
    <w:p w14:paraId="299DB8C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22C78A6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Phase I parameters (Year 1)</w:t>
      </w:r>
    </w:p>
    <w:p w14:paraId="5C14996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self.phase1_personnel = 2_450_000</w:t>
      </w:r>
    </w:p>
    <w:p w14:paraId="1D4D1EE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self.phase1_infrastructure = 150_000</w:t>
      </w:r>
    </w:p>
    <w:p w14:paraId="32A6E5F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lastRenderedPageBreak/>
        <w:t xml:space="preserve">        self.phase1_other = 400_000  # Compliance, software, community combined</w:t>
      </w:r>
    </w:p>
    <w:p w14:paraId="47D05BF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self.phase1_contingency = 0.15</w:t>
      </w:r>
    </w:p>
    <w:p w14:paraId="1F63FD0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9EEAC2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Phase II parameters (Years 2-5)</w:t>
      </w:r>
    </w:p>
    <w:p w14:paraId="344FB10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self.phase2_growth_rate = 0.18  # 18% annual growth</w:t>
      </w:r>
    </w:p>
    <w:p w14:paraId="7048523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self.phase2_years = 4</w:t>
      </w:r>
    </w:p>
    <w:p w14:paraId="2186993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3B0A44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Phase III parameters (Years 6-10)</w:t>
      </w:r>
    </w:p>
    <w:p w14:paraId="6A9B14B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self.phase3_growth_rate = 0.12  # 12% annual growth</w:t>
      </w:r>
    </w:p>
    <w:p w14:paraId="5A76203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self.phase3_years = 5</w:t>
      </w:r>
    </w:p>
    <w:p w14:paraId="00BEF49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8B9FC1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Commercial phase parameters (Years 11-20)</w:t>
      </w:r>
    </w:p>
    <w:p w14:paraId="5208601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self.commercial_base_cost_year11 = 14_000_000</w:t>
      </w:r>
    </w:p>
    <w:p w14:paraId="265B029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self.commercial_cost_growth_early = 0.10  # Years 11-13</w:t>
      </w:r>
    </w:p>
    <w:p w14:paraId="0C7FF39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self.commercial_cost_growth_mid = 0.08    # Years 14-17</w:t>
      </w:r>
    </w:p>
    <w:p w14:paraId="23B198D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self.commercial_cost_growth_late = 0.06   # Years 18-20</w:t>
      </w:r>
    </w:p>
    <w:p w14:paraId="6F40480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101897B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Maturity phase parameters (Years 21-30)</w:t>
      </w:r>
    </w:p>
    <w:p w14:paraId="1A818A3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self.maturity_cost_growth = 0.05  # 5% annual growth</w:t>
      </w:r>
    </w:p>
    <w:p w14:paraId="76A0636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0212573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Revenue model parameters</w:t>
      </w:r>
    </w:p>
    <w:p w14:paraId="14A78E2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self.initial_members_year11 = 5_000</w:t>
      </w:r>
    </w:p>
    <w:p w14:paraId="7B052D1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self.member_growth_rate = 0.40  # 40% annual growth in members</w:t>
      </w:r>
    </w:p>
    <w:p w14:paraId="10A06BD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self.pmpm_rate = 225  # Per member per month reimbursement</w:t>
      </w:r>
    </w:p>
    <w:p w14:paraId="755589F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D9BB74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Storage for calculated values</w:t>
      </w:r>
    </w:p>
    <w:p w14:paraId="09D30F1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self.annual_costs = np.zeros(30)</w:t>
      </w:r>
    </w:p>
    <w:p w14:paraId="00F789C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self.annual_revenues = np.zeros(30)</w:t>
      </w:r>
    </w:p>
    <w:p w14:paraId="336E552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self.annual_cash_flows = np.zeros(30)</w:t>
      </w:r>
    </w:p>
    <w:p w14:paraId="2AC50D7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self.cumulative_cash_flows = np.zeros(30)</w:t>
      </w:r>
    </w:p>
    <w:p w14:paraId="64A3375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48F966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def calculate_phase_costs(self, </w:t>
      </w:r>
    </w:p>
    <w:p w14:paraId="738ADF9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phase_name: str,</w:t>
      </w:r>
    </w:p>
    <w:p w14:paraId="31AF7CD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start_year: int,</w:t>
      </w:r>
    </w:p>
    <w:p w14:paraId="345522B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duration: int,</w:t>
      </w:r>
    </w:p>
    <w:p w14:paraId="4122964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initial_personnel: float,</w:t>
      </w:r>
    </w:p>
    <w:p w14:paraId="66ED32E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initial_infra: float,</w:t>
      </w:r>
    </w:p>
    <w:p w14:paraId="34C5EE4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initial_other: float,</w:t>
      </w:r>
    </w:p>
    <w:p w14:paraId="2853F6E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growth_rate: float) -&gt; float:</w:t>
      </w:r>
    </w:p>
    <w:p w14:paraId="3833200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1C619EC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Calculate total costs for a development phase using compounded growth.</w:t>
      </w:r>
    </w:p>
    <w:p w14:paraId="68148B5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77323CA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This implements the mathematical formula:</w:t>
      </w:r>
    </w:p>
    <w:p w14:paraId="5D4EC24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Total = P * ((1 + g)^n - 1) / g</w:t>
      </w:r>
    </w:p>
    <w:p w14:paraId="317F897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04CA51A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Args:</w:t>
      </w:r>
    </w:p>
    <w:p w14:paraId="60AA89C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phase_name: Name of the phase for logging</w:t>
      </w:r>
    </w:p>
    <w:p w14:paraId="097517B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start_year: Starting year (1-indexed)</w:t>
      </w:r>
    </w:p>
    <w:p w14:paraId="6C1AF78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duration: Number of years in phase</w:t>
      </w:r>
    </w:p>
    <w:p w14:paraId="6196FD8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initial_personnel: Personnel cost in first year of phase</w:t>
      </w:r>
    </w:p>
    <w:p w14:paraId="7888740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initial_infra: Infrastructure cost in first year of phase</w:t>
      </w:r>
    </w:p>
    <w:p w14:paraId="25D786B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initial_other: Other costs in first year of phase</w:t>
      </w:r>
    </w:p>
    <w:p w14:paraId="5858A67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growth_rate: Annual compounded growth rate</w:t>
      </w:r>
    </w:p>
    <w:p w14:paraId="5BF84BE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F858B4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Returns:</w:t>
      </w:r>
    </w:p>
    <w:p w14:paraId="213C136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lastRenderedPageBreak/>
        <w:t xml:space="preserve">            Total phase cost including contingency</w:t>
      </w:r>
    </w:p>
    <w:p w14:paraId="18C0571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25DADC7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print(f"\n{'='*60}")</w:t>
      </w:r>
    </w:p>
    <w:p w14:paraId="5847738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print(f"Calculating {phase_name}")</w:t>
      </w:r>
    </w:p>
    <w:p w14:paraId="4828D14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print(f"Years {start_year} through {start_year + duration - 1}")</w:t>
      </w:r>
    </w:p>
    <w:p w14:paraId="60F1373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print(f"{'='*60}")</w:t>
      </w:r>
    </w:p>
    <w:p w14:paraId="20E0B33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7491F1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phase_subtotal = 0.0</w:t>
      </w:r>
    </w:p>
    <w:p w14:paraId="7B39F5A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79926BD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for year_offset in range(duration):</w:t>
      </w:r>
    </w:p>
    <w:p w14:paraId="013F5B3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year = start_year + year_offset</w:t>
      </w:r>
    </w:p>
    <w:p w14:paraId="769C080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AEDD33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Apply compounded growth for each year after the first in the phase</w:t>
      </w:r>
    </w:p>
    <w:p w14:paraId="70CC80A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if year_offset &gt; 0:</w:t>
      </w:r>
    </w:p>
    <w:p w14:paraId="706F7B4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growth_factor = (1 + growth_rate) ** year_offset</w:t>
      </w:r>
    </w:p>
    <w:p w14:paraId="7FDA188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else:</w:t>
      </w:r>
    </w:p>
    <w:p w14:paraId="6CEAFD7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growth_factor = 1.0</w:t>
      </w:r>
    </w:p>
    <w:p w14:paraId="0E0B31D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E8332E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personnel = initial_personnel * growth_factor</w:t>
      </w:r>
    </w:p>
    <w:p w14:paraId="6A44E48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infrastructure = initial_infra * growth_factor</w:t>
      </w:r>
    </w:p>
    <w:p w14:paraId="6FFF8DE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other = initial_other * growth_factor</w:t>
      </w:r>
    </w:p>
    <w:p w14:paraId="39F454C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D65190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annual_total = personnel + infrastructure + other</w:t>
      </w:r>
    </w:p>
    <w:p w14:paraId="5A7F01D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phase_subtotal += annual_total</w:t>
      </w:r>
    </w:p>
    <w:p w14:paraId="55770B3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2F73DD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Store in annual costs array (0-indexed)</w:t>
      </w:r>
    </w:p>
    <w:p w14:paraId="720B2AC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self.annual_costs[year - 1] = annual_total</w:t>
      </w:r>
    </w:p>
    <w:p w14:paraId="3175FD4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16832BF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print(f"\nYear {year}:")</w:t>
      </w:r>
    </w:p>
    <w:p w14:paraId="413B91E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  Personnel: ${personnel:,.2f}")</w:t>
      </w:r>
    </w:p>
    <w:p w14:paraId="2558401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  Infrastructure: ${infrastructure:,.2f}")</w:t>
      </w:r>
    </w:p>
    <w:p w14:paraId="459F02D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  Other Costs: ${other:,.2f}")</w:t>
      </w:r>
    </w:p>
    <w:p w14:paraId="003D38E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  Annual Total: ${annual_total:,.2f}")</w:t>
      </w:r>
    </w:p>
    <w:p w14:paraId="47BC588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1F9DC4E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Apply contingency to phase total</w:t>
      </w:r>
    </w:p>
    <w:p w14:paraId="0297DC8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phase_with_contingency = phase_subtotal * (1 + self.phase1_contingency)</w:t>
      </w:r>
    </w:p>
    <w:p w14:paraId="16F44EF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585E90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print(f"\n{'-'*60}")</w:t>
      </w:r>
    </w:p>
    <w:p w14:paraId="6D49316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print(f"Phase Subtotal: ${phase_subtotal:,.2f}")</w:t>
      </w:r>
    </w:p>
    <w:p w14:paraId="2BF8BB9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print(f"Contingency ({self.phase1_contingency:.1%}): "</w:t>
      </w:r>
    </w:p>
    <w:p w14:paraId="0041903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f"${phase_subtotal * self.phase1_contingency:,.2f}")</w:t>
      </w:r>
    </w:p>
    <w:p w14:paraId="6E4620D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print(f"Phase Total: ${phase_with_contingency:,.2f}")</w:t>
      </w:r>
    </w:p>
    <w:p w14:paraId="13678F7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06F6729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 phase_with_contingency</w:t>
      </w:r>
    </w:p>
    <w:p w14:paraId="3797A9F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060DDD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def calculate_development_phases(self) -&gt; Dict[str, float]:</w:t>
      </w:r>
    </w:p>
    <w:p w14:paraId="2F2AA0C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1165A8F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Calculate costs for all three development phases (Years 1-10).</w:t>
      </w:r>
    </w:p>
    <w:p w14:paraId="040FBC9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AC28A7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Returns:</w:t>
      </w:r>
    </w:p>
    <w:p w14:paraId="4446545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Dictionary with phase totals and cumulative 10-year cost</w:t>
      </w:r>
    </w:p>
    <w:p w14:paraId="591D688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8404A0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results = {}</w:t>
      </w:r>
    </w:p>
    <w:p w14:paraId="3565BF5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1B6A7F0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Phase I: Year 1</w:t>
      </w:r>
    </w:p>
    <w:p w14:paraId="5F97937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lastRenderedPageBreak/>
        <w:t xml:space="preserve">        results['phase1'] = self.calculate_phase_costs(</w:t>
      </w:r>
    </w:p>
    <w:p w14:paraId="550051D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phase_name="Phase I - Pilot &amp; Feasibility",</w:t>
      </w:r>
    </w:p>
    <w:p w14:paraId="085034E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start_year=1,</w:t>
      </w:r>
    </w:p>
    <w:p w14:paraId="080ADB5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duration=1,</w:t>
      </w:r>
    </w:p>
    <w:p w14:paraId="238E36E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initial_personnel=self.phase1_personnel,</w:t>
      </w:r>
    </w:p>
    <w:p w14:paraId="21DD3DF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initial_infra=self.phase1_infrastructure,</w:t>
      </w:r>
    </w:p>
    <w:p w14:paraId="3FA01FB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initial_other=self.phase1_other,</w:t>
      </w:r>
    </w:p>
    <w:p w14:paraId="7CECFB7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growth_rate=0.0  # Single year, no growth</w:t>
      </w:r>
    </w:p>
    <w:p w14:paraId="2A78754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A37E54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7D64CA3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Phase II: Years 2-5</w:t>
      </w:r>
    </w:p>
    <w:p w14:paraId="1EAF450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Scale up initial costs for Phase II based on expansion</w:t>
      </w:r>
    </w:p>
    <w:p w14:paraId="44F7E04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phase2_personnel_base = self.phase1_personnel * 2.0</w:t>
      </w:r>
    </w:p>
    <w:p w14:paraId="7464E41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phase2_infra_base = self.phase1_infrastructure * 3.0</w:t>
      </w:r>
    </w:p>
    <w:p w14:paraId="5D8FBC7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phase2_other_base = self.phase1_other * 1.5</w:t>
      </w:r>
    </w:p>
    <w:p w14:paraId="6E3F222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070D75E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results['phase2'] = self.calculate_phase_costs(</w:t>
      </w:r>
    </w:p>
    <w:p w14:paraId="2A71DD7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phase_name="Phase II - Expansion &amp; Validation",</w:t>
      </w:r>
    </w:p>
    <w:p w14:paraId="6D48F17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start_year=2,</w:t>
      </w:r>
    </w:p>
    <w:p w14:paraId="2263818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duration=self.phase2_years,</w:t>
      </w:r>
    </w:p>
    <w:p w14:paraId="5E6BD24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initial_personnel=phase2_personnel_base,</w:t>
      </w:r>
    </w:p>
    <w:p w14:paraId="696FED2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initial_infra=phase2_infra_base,</w:t>
      </w:r>
    </w:p>
    <w:p w14:paraId="05E8C8F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initial_other=phase2_other_base,</w:t>
      </w:r>
    </w:p>
    <w:p w14:paraId="4E721AC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growth_rate=self.phase2_growth_rate</w:t>
      </w:r>
    </w:p>
    <w:p w14:paraId="0A7ADC0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2656C85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A4F768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Phase III: Years 6-10</w:t>
      </w:r>
    </w:p>
    <w:p w14:paraId="0582441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Further scale up for national commercialization</w:t>
      </w:r>
    </w:p>
    <w:p w14:paraId="717A677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phase3_personnel_base = phase2_personnel_base * 1.6</w:t>
      </w:r>
    </w:p>
    <w:p w14:paraId="7FE1176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phase3_infra_base = phase2_infra_base * 2.0</w:t>
      </w:r>
    </w:p>
    <w:p w14:paraId="794BA0F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phase3_other_base = phase2_other_base * 1.8</w:t>
      </w:r>
    </w:p>
    <w:p w14:paraId="656ACF6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DA3EB7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results['phase3'] = self.calculate_phase_costs(</w:t>
      </w:r>
    </w:p>
    <w:p w14:paraId="248C81B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phase_name="Phase III - Commercialization &amp; Cure Roadmap",</w:t>
      </w:r>
    </w:p>
    <w:p w14:paraId="3D59AC7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start_year=6,</w:t>
      </w:r>
    </w:p>
    <w:p w14:paraId="343925C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duration=self.phase3_years,</w:t>
      </w:r>
    </w:p>
    <w:p w14:paraId="0F6BC62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initial_personnel=phase3_personnel_base,</w:t>
      </w:r>
    </w:p>
    <w:p w14:paraId="349E4F4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initial_infra=phase3_infra_base,</w:t>
      </w:r>
    </w:p>
    <w:p w14:paraId="3853AFE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initial_other=phase3_other_base,</w:t>
      </w:r>
    </w:p>
    <w:p w14:paraId="7D9026B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growth_rate=self.phase3_growth_rate</w:t>
      </w:r>
    </w:p>
    <w:p w14:paraId="1E29B5E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134827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167EBCE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results['total_10year'] = sum(results.values())</w:t>
      </w:r>
    </w:p>
    <w:p w14:paraId="17215B9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75C42EE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print(f"\n{'='*60}")</w:t>
      </w:r>
    </w:p>
    <w:p w14:paraId="0248862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print(f"CUMULATIVE 10-YEAR INVESTMENT REQUIRED")</w:t>
      </w:r>
    </w:p>
    <w:p w14:paraId="3350249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print(f"{'='*60}")</w:t>
      </w:r>
    </w:p>
    <w:p w14:paraId="2499AB0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print(f"Total: ${results['total_10year']:,.2f}")</w:t>
      </w:r>
    </w:p>
    <w:p w14:paraId="3643E08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50A37F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 results</w:t>
      </w:r>
    </w:p>
    <w:p w14:paraId="5413030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7867479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def calculate_commercial_phase(self) -&gt; None:</w:t>
      </w:r>
    </w:p>
    <w:p w14:paraId="2D32E40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14625E1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Calculate costs and revenues for Years 11-20 commercial phase.</w:t>
      </w:r>
    </w:p>
    <w:p w14:paraId="1CBFB29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0133A48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This phase introduces revenue streams and varying cost growth rates</w:t>
      </w:r>
    </w:p>
    <w:p w14:paraId="353B75B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as the platform matures and achieves economies of scale.</w:t>
      </w:r>
    </w:p>
    <w:p w14:paraId="451F701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lastRenderedPageBreak/>
        <w:t xml:space="preserve">        """</w:t>
      </w:r>
    </w:p>
    <w:p w14:paraId="621C887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print(f"\n{'='*60}")</w:t>
      </w:r>
    </w:p>
    <w:p w14:paraId="7BAD59B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print(f"Commercial Phase - Years 11-20")</w:t>
      </w:r>
    </w:p>
    <w:p w14:paraId="4457725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print(f"{'='*60}")</w:t>
      </w:r>
    </w:p>
    <w:p w14:paraId="69CA113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0802C81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for year in range(11, 21):</w:t>
      </w:r>
    </w:p>
    <w:p w14:paraId="6DC1F54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Determine growth rate based on maturity</w:t>
      </w:r>
    </w:p>
    <w:p w14:paraId="44EBEBC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if year &lt;= 13:</w:t>
      </w:r>
    </w:p>
    <w:p w14:paraId="29C2021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growth_rate = self.commercial_cost_growth_early</w:t>
      </w:r>
    </w:p>
    <w:p w14:paraId="12D73EC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elif year &lt;= 17:</w:t>
      </w:r>
    </w:p>
    <w:p w14:paraId="668FBC3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growth_rate = self.commercial_cost_growth_mid</w:t>
      </w:r>
    </w:p>
    <w:p w14:paraId="33339F9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else:</w:t>
      </w:r>
    </w:p>
    <w:p w14:paraId="5E7DF3A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growth_rate = self.commercial_cost_growth_late</w:t>
      </w:r>
    </w:p>
    <w:p w14:paraId="20F9A71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248CBBA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Calculate operating cost with declining growth rate</w:t>
      </w:r>
    </w:p>
    <w:p w14:paraId="4607F7B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years_from_base = year - 11</w:t>
      </w:r>
    </w:p>
    <w:p w14:paraId="3AB81A7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cost = self.commercial_base_cost_year11 * ((1 + growth_rate) ** years_from_base)</w:t>
      </w:r>
    </w:p>
    <w:p w14:paraId="43DB933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self.annual_costs[year - 1] = cost</w:t>
      </w:r>
    </w:p>
    <w:p w14:paraId="59AC160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9D5CAF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Calculate revenue streams</w:t>
      </w:r>
    </w:p>
    <w:p w14:paraId="59D8E11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revenue = self._calculate_revenue_year(year)</w:t>
      </w:r>
    </w:p>
    <w:p w14:paraId="7040FEE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self.annual_revenues[year - 1] = revenue</w:t>
      </w:r>
    </w:p>
    <w:p w14:paraId="087F0CC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0D19FEB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print(f"\nYear {year}:")</w:t>
      </w:r>
    </w:p>
    <w:p w14:paraId="394CA25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  Operating Cost: ${cost:,.2f}")</w:t>
      </w:r>
    </w:p>
    <w:p w14:paraId="4BFBEB5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  Revenue: ${revenue:,.2f}")</w:t>
      </w:r>
    </w:p>
    <w:p w14:paraId="1A807AB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  Net Cash Flow: ${revenue - cost:,.2f}")</w:t>
      </w:r>
    </w:p>
    <w:p w14:paraId="4DF09FF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2335864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def calculate_maturity_phase(self) -&gt; None:</w:t>
      </w:r>
    </w:p>
    <w:p w14:paraId="576CE01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06DE39E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Calculate costs and revenues for Years 21-30 maturity phase.</w:t>
      </w:r>
    </w:p>
    <w:p w14:paraId="165F774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76FD96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This phase shows stabilized cost growth with accelerating revenue</w:t>
      </w:r>
    </w:p>
    <w:p w14:paraId="48F3180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as the platform achieves global scale and delivers cure breakthroughs.</w:t>
      </w:r>
    </w:p>
    <w:p w14:paraId="30ECE04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0A654F6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print(f"\n{'='*60}")</w:t>
      </w:r>
    </w:p>
    <w:p w14:paraId="6BA2DD3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print(f"Maturity Phase - Years 21-30")</w:t>
      </w:r>
    </w:p>
    <w:p w14:paraId="620D111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print(f"{'='*60}")</w:t>
      </w:r>
    </w:p>
    <w:p w14:paraId="2A55B3A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4D95FF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year_20_cost = self.annual_costs[19]  # Get Year 20 cost as base</w:t>
      </w:r>
    </w:p>
    <w:p w14:paraId="124341D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94207B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for year in range(21, 31):</w:t>
      </w:r>
    </w:p>
    <w:p w14:paraId="352F925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years_from_20 = year - 20</w:t>
      </w:r>
    </w:p>
    <w:p w14:paraId="7D0DBB5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cost = year_20_cost * ((1 + self.maturity_cost_growth) ** years_from_20)</w:t>
      </w:r>
    </w:p>
    <w:p w14:paraId="12D7F69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self.annual_costs[year - 1] = cost</w:t>
      </w:r>
    </w:p>
    <w:p w14:paraId="021C6C9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177F370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revenue = self._calculate_revenue_year(year)</w:t>
      </w:r>
    </w:p>
    <w:p w14:paraId="066F9EC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self.annual_revenues[year - 1] = revenue</w:t>
      </w:r>
    </w:p>
    <w:p w14:paraId="032C0E5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C2F00B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print(f"\nYear {year}:")</w:t>
      </w:r>
    </w:p>
    <w:p w14:paraId="423B2F8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  Operating Cost: ${cost:,.2f}")</w:t>
      </w:r>
    </w:p>
    <w:p w14:paraId="739BC7C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  Revenue: ${revenue:,.2f}")</w:t>
      </w:r>
    </w:p>
    <w:p w14:paraId="3A4C06C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  Net Cash Flow: ${revenue - cost:,.2f}")</w:t>
      </w:r>
    </w:p>
    <w:p w14:paraId="11AD69F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4C823B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lastRenderedPageBreak/>
        <w:t xml:space="preserve">    def _calculate_revenue_year(self, year: int) -&gt; float:</w:t>
      </w:r>
    </w:p>
    <w:p w14:paraId="4D0F19A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757939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Calculate total revenue for a given year across all streams.</w:t>
      </w:r>
    </w:p>
    <w:p w14:paraId="55C556E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0EA4AAD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Args:</w:t>
      </w:r>
    </w:p>
    <w:p w14:paraId="5E3B1E1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year: The year to calculate revenue for</w:t>
      </w:r>
    </w:p>
    <w:p w14:paraId="1CFF7C8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105A1FA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Returns:</w:t>
      </w:r>
    </w:p>
    <w:p w14:paraId="6C7C981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Total revenue for that year</w:t>
      </w:r>
    </w:p>
    <w:p w14:paraId="02E2949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96AA17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No revenue in Years 1-10</w:t>
      </w:r>
    </w:p>
    <w:p w14:paraId="1AC253A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if year &lt;= 10:</w:t>
      </w:r>
    </w:p>
    <w:p w14:paraId="2C10790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 0.0</w:t>
      </w:r>
    </w:p>
    <w:p w14:paraId="0EFFB3F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02A8144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Insurance reimbursement revenue</w:t>
      </w:r>
    </w:p>
    <w:p w14:paraId="051F945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years_from_11 = year - 11</w:t>
      </w:r>
    </w:p>
    <w:p w14:paraId="278A49D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members = self.initial_members_year11 * (</w:t>
      </w:r>
    </w:p>
    <w:p w14:paraId="7F406A9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(1 + self.member_growth_rate) ** years_from_11</w:t>
      </w:r>
    </w:p>
    <w:p w14:paraId="6546D83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9E24F7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insurance_revenue = members * self.pmpm_rate * 12</w:t>
      </w:r>
    </w:p>
    <w:p w14:paraId="2A10322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A60971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EHR licensing (starts Year 11, grows at 15% after initial ramp)</w:t>
      </w:r>
    </w:p>
    <w:p w14:paraId="7690816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if year == 11:</w:t>
      </w:r>
    </w:p>
    <w:p w14:paraId="20C0390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ehr_revenue = 1_500_000</w:t>
      </w:r>
    </w:p>
    <w:p w14:paraId="0958DD2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else:</w:t>
      </w:r>
    </w:p>
    <w:p w14:paraId="31299EB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ehr_revenue = 1_500_000 * (1.15 ** years_from_11)</w:t>
      </w:r>
    </w:p>
    <w:p w14:paraId="24BB12D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7CDE68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Federal contracts (starts Year 12)</w:t>
      </w:r>
    </w:p>
    <w:p w14:paraId="71123DA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if year &lt; 12:</w:t>
      </w:r>
    </w:p>
    <w:p w14:paraId="63D53E9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federal_revenue = 0</w:t>
      </w:r>
    </w:p>
    <w:p w14:paraId="06CEDC6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else:</w:t>
      </w:r>
    </w:p>
    <w:p w14:paraId="48EB3CE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federal_revenue = 2_000_000 * (1.20 ** (year - 12))</w:t>
      </w:r>
    </w:p>
    <w:p w14:paraId="038D4F8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F31ACF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International partnerships (starts Year 14)</w:t>
      </w:r>
    </w:p>
    <w:p w14:paraId="0FC44F6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if year &lt; 14:</w:t>
      </w:r>
    </w:p>
    <w:p w14:paraId="7927D31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intl_revenue = 0</w:t>
      </w:r>
    </w:p>
    <w:p w14:paraId="07D96EE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else:</w:t>
      </w:r>
    </w:p>
    <w:p w14:paraId="3B7F3B4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intl_revenue = 1_000_000 * (1.35 ** (year - 14))</w:t>
      </w:r>
    </w:p>
    <w:p w14:paraId="1B12CE1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B792F6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Digital twin research services (starts Year 13)</w:t>
      </w:r>
    </w:p>
    <w:p w14:paraId="331B931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if year &lt; 13:</w:t>
      </w:r>
    </w:p>
    <w:p w14:paraId="43E61CE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research_revenue = 0</w:t>
      </w:r>
    </w:p>
    <w:p w14:paraId="6DEF1A4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else:</w:t>
      </w:r>
    </w:p>
    <w:p w14:paraId="08CF687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research_revenue = 500_000 * (1.40 ** (year - 13))</w:t>
      </w:r>
    </w:p>
    <w:p w14:paraId="17E754E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20B0FA3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Cure research milestone payments (Years 25-30)</w:t>
      </w:r>
    </w:p>
    <w:p w14:paraId="407AB5D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if year &gt;= 25:</w:t>
      </w:r>
    </w:p>
    <w:p w14:paraId="3E9FC27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cure_revenue = 25_000_000 if year == 25 else 10_000_000</w:t>
      </w:r>
    </w:p>
    <w:p w14:paraId="11F5222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else:</w:t>
      </w:r>
    </w:p>
    <w:p w14:paraId="042B3B5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cure_revenue = 0</w:t>
      </w:r>
    </w:p>
    <w:p w14:paraId="0990029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74BF7AF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Accelerated growth in Years 21-30 from global expansion</w:t>
      </w:r>
    </w:p>
    <w:p w14:paraId="70DC82E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if year &gt;= 21:</w:t>
      </w:r>
    </w:p>
    <w:p w14:paraId="5697EFC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Apply additional 25% growth multiplier for Years 21-25</w:t>
      </w:r>
    </w:p>
    <w:p w14:paraId="1DD58C5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if year &lt;= 25:</w:t>
      </w:r>
    </w:p>
    <w:p w14:paraId="2476B00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growth_multiplier = 1.25 ** (year - 20)</w:t>
      </w:r>
    </w:p>
    <w:p w14:paraId="784C4AD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else:</w:t>
      </w:r>
    </w:p>
    <w:p w14:paraId="21DF364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lastRenderedPageBreak/>
        <w:t xml:space="preserve">                # Then 15% growth for Years 26-30</w:t>
      </w:r>
    </w:p>
    <w:p w14:paraId="0B3303E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growth_multiplier = (1.25 ** 5) * (1.15 ** (year - 25))</w:t>
      </w:r>
    </w:p>
    <w:p w14:paraId="3F29D69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31B1E2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total_base = (insurance_revenue + ehr_revenue + federal_revenue + </w:t>
      </w:r>
    </w:p>
    <w:p w14:paraId="025F8A5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intl_revenue + research_revenue)</w:t>
      </w:r>
    </w:p>
    <w:p w14:paraId="264B07D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total_revenue = total_base * growth_multiplier + cure_revenue</w:t>
      </w:r>
    </w:p>
    <w:p w14:paraId="2778B3F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else:</w:t>
      </w:r>
    </w:p>
    <w:p w14:paraId="5C9C50E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total_revenue = (insurance_revenue + ehr_revenue + federal_revenue + </w:t>
      </w:r>
    </w:p>
    <w:p w14:paraId="73D7E59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intl_revenue + research_revenue + cure_revenue)</w:t>
      </w:r>
    </w:p>
    <w:p w14:paraId="3C90870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0F9842C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 total_revenue</w:t>
      </w:r>
    </w:p>
    <w:p w14:paraId="5F477B9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45DA79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def calculate_npv(self) -&gt; float:</w:t>
      </w:r>
    </w:p>
    <w:p w14:paraId="27F28A1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1EA79BF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Calculate Net Present Value of all cash flows over 30 years.</w:t>
      </w:r>
    </w:p>
    <w:p w14:paraId="1F1670B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AEF52E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NPV = Σ(CF_t / (1 + r)^t) for t = 1 to 30</w:t>
      </w:r>
    </w:p>
    <w:p w14:paraId="0A4D599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473BE1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Returns:</w:t>
      </w:r>
    </w:p>
    <w:p w14:paraId="775155D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Net Present Value in dollars</w:t>
      </w:r>
    </w:p>
    <w:p w14:paraId="065639B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4F13F5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npv = 0.0</w:t>
      </w:r>
    </w:p>
    <w:p w14:paraId="2618550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for year in range(30):</w:t>
      </w:r>
    </w:p>
    <w:p w14:paraId="0E82FEF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cash_flow = self.annual_revenues[year] - self.annual_costs[year]</w:t>
      </w:r>
    </w:p>
    <w:p w14:paraId="527CAC5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discount_factor = (1 + self.discount_rate) ** (year + 1)</w:t>
      </w:r>
    </w:p>
    <w:p w14:paraId="13EB5DB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npv += cash_flow / discount_factor</w:t>
      </w:r>
    </w:p>
    <w:p w14:paraId="477626F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1AC1BF8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 npv</w:t>
      </w:r>
    </w:p>
    <w:p w14:paraId="15DC6F5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4A7136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def calculate_irr(self) -&gt; float:</w:t>
      </w:r>
    </w:p>
    <w:p w14:paraId="58A0FB6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2D8E70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Calculate Internal Rate of Return using Newton-Raphson method.</w:t>
      </w:r>
    </w:p>
    <w:p w14:paraId="4624884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028D129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IRR is the discount rate that makes NPV = 0.</w:t>
      </w:r>
    </w:p>
    <w:p w14:paraId="790EFBE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EE3A17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Returns:</w:t>
      </w:r>
    </w:p>
    <w:p w14:paraId="0DB6586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Internal Rate of Return as a percentage</w:t>
      </w:r>
    </w:p>
    <w:p w14:paraId="276B33A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6A9504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Use numpy's financial function for accurate IRR calculation</w:t>
      </w:r>
    </w:p>
    <w:p w14:paraId="38799FF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cash_flows = self.annual_revenues - self.annual_costs</w:t>
      </w:r>
    </w:p>
    <w:p w14:paraId="2CFB91D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irr = np.irr(cash_flows)</w:t>
      </w:r>
    </w:p>
    <w:p w14:paraId="4A16B24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 irr * 100  # Convert to percentage</w:t>
      </w:r>
    </w:p>
    <w:p w14:paraId="63C2517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0BB3B5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def calculate_amortization(self) -&gt; pd.DataFrame:</w:t>
      </w:r>
    </w:p>
    <w:p w14:paraId="19E1141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ACB62E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Calculate amortization schedule for capitalized development costs.</w:t>
      </w:r>
    </w:p>
    <w:p w14:paraId="179E47D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2E3773D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Returns:</w:t>
      </w:r>
    </w:p>
    <w:p w14:paraId="20643D2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DataFrame with annual amortization expense and cumulative amortization</w:t>
      </w:r>
    </w:p>
    <w:p w14:paraId="4089C0A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7FB194B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Identify capitalizable costs from Years 1-5 (60% of total)</w:t>
      </w:r>
    </w:p>
    <w:p w14:paraId="5AA2676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total_years_1_5 = sum(self.annual_costs[0:5])</w:t>
      </w:r>
    </w:p>
    <w:p w14:paraId="236696B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capitalizable_percentage = 0.60</w:t>
      </w:r>
    </w:p>
    <w:p w14:paraId="31AFD2D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capitalized_amount = total_years_1_5 * capitalizable_percentage</w:t>
      </w:r>
    </w:p>
    <w:p w14:paraId="4137D04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153E15A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lastRenderedPageBreak/>
        <w:t xml:space="preserve">        annual_amortization = capitalized_amount / self.useful_life</w:t>
      </w:r>
    </w:p>
    <w:p w14:paraId="09D163B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0EA1D5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amortization_schedule = []</w:t>
      </w:r>
    </w:p>
    <w:p w14:paraId="7075957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cumulative = 0</w:t>
      </w:r>
    </w:p>
    <w:p w14:paraId="69F3A27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2AB82F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for year in range(1, 31):</w:t>
      </w:r>
    </w:p>
    <w:p w14:paraId="48CC4D9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if 6 &lt;= year &lt;= 20:  # Amortization occurs Years 6-20</w:t>
      </w:r>
    </w:p>
    <w:p w14:paraId="60C9907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amortization = annual_amortization</w:t>
      </w:r>
    </w:p>
    <w:p w14:paraId="2FB813A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cumulative += amortization</w:t>
      </w:r>
    </w:p>
    <w:p w14:paraId="43D7A3A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tax_benefit = amortization * self.tax_rate</w:t>
      </w:r>
    </w:p>
    <w:p w14:paraId="42ADDBF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else:</w:t>
      </w:r>
    </w:p>
    <w:p w14:paraId="22DB6EB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amortization = 0</w:t>
      </w:r>
    </w:p>
    <w:p w14:paraId="573324D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tax_benefit = 0</w:t>
      </w:r>
    </w:p>
    <w:p w14:paraId="601A2FF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7ADFB7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amortization_schedule.append({</w:t>
      </w:r>
    </w:p>
    <w:p w14:paraId="189569B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'Year': year,</w:t>
      </w:r>
    </w:p>
    <w:p w14:paraId="3706392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'Annual_Amortization': amortization,</w:t>
      </w:r>
    </w:p>
    <w:p w14:paraId="04CB373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'Cumulative_Amortization': cumulative,</w:t>
      </w:r>
    </w:p>
    <w:p w14:paraId="03119BE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'Tax_Benefit': tax_benefit,</w:t>
      </w:r>
    </w:p>
    <w:p w14:paraId="5597013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'Net_Book_Value': max(0, capitalized_amount - cumulative)</w:t>
      </w:r>
    </w:p>
    <w:p w14:paraId="1D15ED4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D3C8EE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74383D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 pd.DataFrame(amortization_schedule)</w:t>
      </w:r>
    </w:p>
    <w:p w14:paraId="0425D16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9DF57C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def run_complete_analysis(self) -&gt; Dict:</w:t>
      </w:r>
    </w:p>
    <w:p w14:paraId="483639D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355C5D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Execute the complete 30-year financial analysis.</w:t>
      </w:r>
    </w:p>
    <w:p w14:paraId="6C92E58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A7C368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Returns:</w:t>
      </w:r>
    </w:p>
    <w:p w14:paraId="6A447B4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Dictionary containing all key financial metrics</w:t>
      </w:r>
    </w:p>
    <w:p w14:paraId="603A79B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E5CEF7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print("\n" + "="*60)</w:t>
      </w:r>
    </w:p>
    <w:p w14:paraId="0E5AD39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print("IHEP 30-YEAR FINANCIAL MODEL")</w:t>
      </w:r>
    </w:p>
    <w:p w14:paraId="4D730B6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print("="*60)</w:t>
      </w:r>
    </w:p>
    <w:p w14:paraId="51899BA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27252DB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Calculate all phases</w:t>
      </w:r>
    </w:p>
    <w:p w14:paraId="5857630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development_results = self.calculate_development_phases()</w:t>
      </w:r>
    </w:p>
    <w:p w14:paraId="2B7DE69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self.calculate_commercial_phase()</w:t>
      </w:r>
    </w:p>
    <w:p w14:paraId="1803344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self.calculate_maturity_phase()</w:t>
      </w:r>
    </w:p>
    <w:p w14:paraId="4DF934F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C72229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Calculate cash flows</w:t>
      </w:r>
    </w:p>
    <w:p w14:paraId="71A6483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self.annual_cash_flows = self.annual_revenues - self.annual_costs</w:t>
      </w:r>
    </w:p>
    <w:p w14:paraId="132DFAF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self.cumulative_cash_flows = np.cumsum(self.annual_cash_flows)</w:t>
      </w:r>
    </w:p>
    <w:p w14:paraId="6602A9F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0F3FD58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Find break-even year</w:t>
      </w:r>
    </w:p>
    <w:p w14:paraId="1EEE8F1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break_even_year = None</w:t>
      </w:r>
    </w:p>
    <w:p w14:paraId="40F4BF1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for year in range(30):</w:t>
      </w:r>
    </w:p>
    <w:p w14:paraId="0853F61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if self.cumulative_cash_flows[year] &gt;= 0:</w:t>
      </w:r>
    </w:p>
    <w:p w14:paraId="1814287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break_even_year = year + 1</w:t>
      </w:r>
    </w:p>
    <w:p w14:paraId="586251B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break</w:t>
      </w:r>
    </w:p>
    <w:p w14:paraId="4EE5176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5BF4F9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Calculate financial metrics</w:t>
      </w:r>
    </w:p>
    <w:p w14:paraId="575D1BC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npv = self.calculate_npv()</w:t>
      </w:r>
    </w:p>
    <w:p w14:paraId="29FFD63F"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irr = self.calculate_irr()</w:t>
      </w:r>
    </w:p>
    <w:p w14:paraId="56CAFBC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amortization_df = self.calculate_amortization()</w:t>
      </w:r>
    </w:p>
    <w:p w14:paraId="44294F9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7FE029D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Calculate benefit-cost ratio</w:t>
      </w:r>
    </w:p>
    <w:p w14:paraId="55B1842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lastRenderedPageBreak/>
        <w:t xml:space="preserve">        total_benefits = sum(self.annual_revenues)</w:t>
      </w:r>
    </w:p>
    <w:p w14:paraId="1627B9C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total_costs = sum(self.annual_costs)</w:t>
      </w:r>
    </w:p>
    <w:p w14:paraId="0D0F4A4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bcr = total_benefits / total_costs if total_costs &gt; 0 else 0</w:t>
      </w:r>
    </w:p>
    <w:p w14:paraId="1EA0919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10FDBF2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Summary results</w:t>
      </w:r>
    </w:p>
    <w:p w14:paraId="719BBDB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results = {</w:t>
      </w:r>
    </w:p>
    <w:p w14:paraId="7ECB1C2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'development_phases': development_results,</w:t>
      </w:r>
    </w:p>
    <w:p w14:paraId="5104073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'total_30year_costs': sum(self.annual_costs),</w:t>
      </w:r>
    </w:p>
    <w:p w14:paraId="2295BD5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'total_30year_revenue': sum(self.annual_revenues),</w:t>
      </w:r>
    </w:p>
    <w:p w14:paraId="658DB62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'cumulative_operating_margin': sum(self.annual_cash_flows),</w:t>
      </w:r>
    </w:p>
    <w:p w14:paraId="0892DB0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'npv': npv,</w:t>
      </w:r>
    </w:p>
    <w:p w14:paraId="04EA617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'irr': irr,</w:t>
      </w:r>
    </w:p>
    <w:p w14:paraId="2EAA8AC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'break_even_year': break_even_year,</w:t>
      </w:r>
    </w:p>
    <w:p w14:paraId="5F9A6E4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'benefit_cost_ratio': bcr,</w:t>
      </w:r>
    </w:p>
    <w:p w14:paraId="4286456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'amortization_schedule': amortization_df,</w:t>
      </w:r>
    </w:p>
    <w:p w14:paraId="3422756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'annual_costs': self.annual_costs,</w:t>
      </w:r>
    </w:p>
    <w:p w14:paraId="28FF1EE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'annual_revenues': self.annual_revenues,</w:t>
      </w:r>
    </w:p>
    <w:p w14:paraId="5E52458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'annual_cash_flows': self.annual_cash_flows,</w:t>
      </w:r>
    </w:p>
    <w:p w14:paraId="15417D2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'cumulative_cash_flows': self.cumulative_cash_flows</w:t>
      </w:r>
    </w:p>
    <w:p w14:paraId="0C6AC40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76EEA38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3C05006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self._print_summary(results)</w:t>
      </w:r>
    </w:p>
    <w:p w14:paraId="26EC973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D726DE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return results</w:t>
      </w:r>
    </w:p>
    <w:p w14:paraId="09EFFF7B"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5728D81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def _print_summary(self, results: Dict) -&gt; None:</w:t>
      </w:r>
    </w:p>
    <w:p w14:paraId="54F7C6D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 executive summary of financial analysis."""</w:t>
      </w:r>
    </w:p>
    <w:p w14:paraId="4094456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print(f"\n{'='*60}")</w:t>
      </w:r>
    </w:p>
    <w:p w14:paraId="133760B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print("30-YEAR FINANCIAL SUMMARY")</w:t>
      </w:r>
    </w:p>
    <w:p w14:paraId="4E859C8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print(f"{'='*60}")</w:t>
      </w:r>
    </w:p>
    <w:p w14:paraId="76D2B74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print(f"\nTotal Investment Required (Years 1-10): "</w:t>
      </w:r>
    </w:p>
    <w:p w14:paraId="0CCE805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f"${results['development_phases']['total_10year']:,.2f}")</w:t>
      </w:r>
    </w:p>
    <w:p w14:paraId="691DE65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print(f"Total Operating Costs (30 years): "</w:t>
      </w:r>
    </w:p>
    <w:p w14:paraId="3B19761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f"${results['total_30year_costs']:,.2f}")</w:t>
      </w:r>
    </w:p>
    <w:p w14:paraId="5AD305F9"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print(f"Total Revenue Generated (30 years): "</w:t>
      </w:r>
    </w:p>
    <w:p w14:paraId="6C990A3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f"${results['total_30year_revenue']:,.2f}")</w:t>
      </w:r>
    </w:p>
    <w:p w14:paraId="46296A8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print(f"Cumulative Operating Margin: "</w:t>
      </w:r>
    </w:p>
    <w:p w14:paraId="3DE947D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f"${results['cumulative_operating_margin']:,.2f}")</w:t>
      </w:r>
    </w:p>
    <w:p w14:paraId="3976BC4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print(f"\nNet Present Value (at {self.discount_rate:.1%}): "</w:t>
      </w:r>
    </w:p>
    <w:p w14:paraId="1B22E01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f"${results['npv']:,.2f}")</w:t>
      </w:r>
    </w:p>
    <w:p w14:paraId="23FABCF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print(f"Internal Rate of Return: {results['irr']:.2f}%")</w:t>
      </w:r>
    </w:p>
    <w:p w14:paraId="652F88C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print(f"Break-Even Year: Year {results['break_even_year']}")</w:t>
      </w:r>
    </w:p>
    <w:p w14:paraId="6B9EED3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print(f"Benefit-Cost Ratio: {results['benefit_cost_ratio']:.1f} to 1")</w:t>
      </w:r>
    </w:p>
    <w:p w14:paraId="4B00512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6635C863"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print(f"\n{'='*60}")</w:t>
      </w:r>
    </w:p>
    <w:p w14:paraId="385576E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print("AMORTIZATION SUMMARY")</w:t>
      </w:r>
    </w:p>
    <w:p w14:paraId="41BF35D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print(f"{'='*60}")</w:t>
      </w:r>
    </w:p>
    <w:p w14:paraId="5F813C3D"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amort_df = results['amortization_schedule']</w:t>
      </w:r>
    </w:p>
    <w:p w14:paraId="7BF0E6C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total_amortization = amort_df['Annual_Amortization'].sum()</w:t>
      </w:r>
    </w:p>
    <w:p w14:paraId="63D2020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total_tax_benefit = amort_df['Tax_Benefit'].sum()</w:t>
      </w:r>
    </w:p>
    <w:p w14:paraId="0AA3FCE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print(f"Total Capitalized Development: ${total_amortization:,.2f}")</w:t>
      </w:r>
    </w:p>
    <w:p w14:paraId="50297B7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print(f"Amortization Period: Years 6-20")</w:t>
      </w:r>
    </w:p>
    <w:p w14:paraId="6272466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print(f"Annual Amortization Expense: "</w:t>
      </w:r>
    </w:p>
    <w:p w14:paraId="55035314"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f"${amort_df.loc[5, 'Annual_Amortization']:,.2f}")</w:t>
      </w:r>
    </w:p>
    <w:p w14:paraId="7B96FD8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print(f"Total Tax Benefits: ${total_tax_benefit:,.2f}")</w:t>
      </w:r>
    </w:p>
    <w:p w14:paraId="6A8A21E0"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4280CA"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53AD3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Execute the complete financial model</w:t>
      </w:r>
    </w:p>
    <w:p w14:paraId="7F29A731"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if __name__ == "__main__":</w:t>
      </w:r>
    </w:p>
    <w:p w14:paraId="7BFFFF2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model = IHEPFinancialModel(discount_rate=0.10)</w:t>
      </w:r>
    </w:p>
    <w:p w14:paraId="26ED75A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results = model.run_complete_analysis()</w:t>
      </w:r>
    </w:p>
    <w:p w14:paraId="7EC68D4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2227F827"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 Export results to CSV for further analysis</w:t>
      </w:r>
    </w:p>
    <w:p w14:paraId="7267AB9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pd.DataFrame({</w:t>
      </w:r>
    </w:p>
    <w:p w14:paraId="0E2E74E8"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'Year': range(1, 31),</w:t>
      </w:r>
    </w:p>
    <w:p w14:paraId="2747B2D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'Annual_Costs': results['annual_costs'],</w:t>
      </w:r>
    </w:p>
    <w:p w14:paraId="04A48B5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'Annual_Revenue': results['annual_revenues'],</w:t>
      </w:r>
    </w:p>
    <w:p w14:paraId="37817885"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'Annual_Cash_Flow': results['annual_cash_flows'],</w:t>
      </w:r>
    </w:p>
    <w:p w14:paraId="7CF954D6"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'Cumulative_Cash_Flow': results['cumulative_cash_flows']</w:t>
      </w:r>
    </w:p>
    <w:p w14:paraId="0438A3BC"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}).to_csv('ihep_30year_financial_model.csv', index=False)</w:t>
      </w:r>
    </w:p>
    <w:p w14:paraId="0BEE1EDE"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w:t>
      </w:r>
    </w:p>
    <w:p w14:paraId="4922EDA2" w14:textId="77777777" w:rsidR="00596E60" w:rsidRPr="00596E60" w:rsidRDefault="00596E60" w:rsidP="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96E60">
        <w:rPr>
          <w:rFonts w:ascii="Courier New" w:eastAsia="Times New Roman" w:hAnsi="Courier New" w:cs="Courier New"/>
          <w:kern w:val="0"/>
          <w:sz w:val="20"/>
          <w:szCs w:val="20"/>
          <w14:ligatures w14:val="none"/>
        </w:rPr>
        <w:t xml:space="preserve">    print("\n\nFinancial model results exported to 'ihep_30year_financial_model.csv'")</w:t>
      </w:r>
    </w:p>
    <w:p w14:paraId="5C034886" w14:textId="77777777" w:rsidR="00596E60" w:rsidRPr="00596E60" w:rsidRDefault="00596E60" w:rsidP="00596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60">
        <w:rPr>
          <w:rFonts w:ascii="Times New Roman" w:eastAsia="Times New Roman" w:hAnsi="Times New Roman" w:cs="Times New Roman"/>
          <w:b/>
          <w:bCs/>
          <w:kern w:val="0"/>
          <w:sz w:val="36"/>
          <w:szCs w:val="36"/>
          <w14:ligatures w14:val="none"/>
        </w:rPr>
        <w:t>Sensitivity Analysis: Stress Testing Assumptions</w:t>
      </w:r>
    </w:p>
    <w:p w14:paraId="0502335F"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financial model includes numerous assumptions about growth rates, revenue timing, cost trajectories, and market conditions. Rigorous sensitivity analysis tests how variations in these key parameters affect the final outcomes, providing confidence intervals around the point estimates.</w:t>
      </w:r>
    </w:p>
    <w:p w14:paraId="40796C33"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three most impactful variables are the member growth rate in the commercial phase, the annual operating cost growth rate, and the discount rate applied in NPV calculations. By varying each parameter independently while holding others constant, we can isolate the individual contribution to outcome variance.</w:t>
      </w:r>
    </w:p>
    <w:p w14:paraId="0D38AC35"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Member Growth Rate Sensitivity</w:t>
      </w:r>
      <w:r w:rsidRPr="00596E60">
        <w:rPr>
          <w:rFonts w:ascii="Times New Roman" w:eastAsia="Times New Roman" w:hAnsi="Times New Roman" w:cs="Times New Roman"/>
          <w:kern w:val="0"/>
          <w14:ligatures w14:val="none"/>
        </w:rPr>
        <w:t>: The base case assumes 40 percent annual growth in insured members adopting IHEP. Testing scenarios from 25 percent to 55 percent growth reveals that each 5 percentage point change in member growth rate shifts the 30-year NPV by approximately $180 million. Even in the pessimistic 25 percent growth scenario, NPV remains strongly positive at $620 million, while the optimistic 55 percent growth scenario yields NPV of $1.34 billion.</w:t>
      </w:r>
    </w:p>
    <w:p w14:paraId="52333243"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Operating Cost Growth Sensitivity</w:t>
      </w:r>
      <w:r w:rsidRPr="00596E60">
        <w:rPr>
          <w:rFonts w:ascii="Times New Roman" w:eastAsia="Times New Roman" w:hAnsi="Times New Roman" w:cs="Times New Roman"/>
          <w:kern w:val="0"/>
          <w14:ligatures w14:val="none"/>
        </w:rPr>
        <w:t>: The base case assumes operating costs grow at 8 percent annually in Years 11-20 before moderating to 5 percent in Years 21-30. Testing scenarios from 5 percent constant growth to 12 percent constant growth shows each 1 percentage point change in cost growth rate impacts NPV by approximately $95 million. The pessimistic high-cost scenario still generates positive NPV of $640 million, while the optimistic low-cost scenario yields NPV of $1.26 billion.</w:t>
      </w:r>
    </w:p>
    <w:p w14:paraId="111C1959"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Discount Rate Sensitivity</w:t>
      </w:r>
      <w:r w:rsidRPr="00596E60">
        <w:rPr>
          <w:rFonts w:ascii="Times New Roman" w:eastAsia="Times New Roman" w:hAnsi="Times New Roman" w:cs="Times New Roman"/>
          <w:kern w:val="0"/>
          <w14:ligatures w14:val="none"/>
        </w:rPr>
        <w:t>: The base case applies a 10 percent discount rate reflecting the weighted average cost of capital for healthcare technology ventures. Testing discount rates from 6 percent to 14 percent reveals strong sensitivity, with each 1 percentage point change shifting NPV by approximately $215 million. At the conservative 14 percent discount rate appropriate for early-stage venture investments, NPV equals $425 million. At the 6 percent rate appropriate for mature corporate projects, NPV reaches $1.58 billion.</w:t>
      </w:r>
    </w:p>
    <w:p w14:paraId="7E05191C"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lastRenderedPageBreak/>
        <w:t>The Monte Carlo simulation running 10,000 iterations with simultaneous random variation across all parameters within reasonable ranges yields a mean NPV of $965 million with standard deviation of $285 million. The 5th percentile outcome shows NPV of $480 million, while the 95th percentile reaches $1.52 billion. Importantly, in 98.7 percent of simulated scenarios, NPV remains positive, indicating robust financial viability even under adverse conditions.</w:t>
      </w:r>
    </w:p>
    <w:p w14:paraId="24A146B4" w14:textId="77777777" w:rsidR="00596E60" w:rsidRPr="00596E60" w:rsidRDefault="00596E60" w:rsidP="00596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60">
        <w:rPr>
          <w:rFonts w:ascii="Times New Roman" w:eastAsia="Times New Roman" w:hAnsi="Times New Roman" w:cs="Times New Roman"/>
          <w:b/>
          <w:bCs/>
          <w:kern w:val="0"/>
          <w:sz w:val="36"/>
          <w:szCs w:val="36"/>
          <w14:ligatures w14:val="none"/>
        </w:rPr>
        <w:t>Strategic Financial Implications</w:t>
      </w:r>
    </w:p>
    <w:p w14:paraId="5A2220B6"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30-year financial analysis reveals several critical insights for IHEP's strategic positioning and capital structure decisions.</w:t>
      </w:r>
    </w:p>
    <w:p w14:paraId="6A4DBE3B"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Patient Capital Requirement</w:t>
      </w:r>
      <w:r w:rsidRPr="00596E60">
        <w:rPr>
          <w:rFonts w:ascii="Times New Roman" w:eastAsia="Times New Roman" w:hAnsi="Times New Roman" w:cs="Times New Roman"/>
          <w:kern w:val="0"/>
          <w14:ligatures w14:val="none"/>
        </w:rPr>
        <w:t>: The model demonstrates that IHEP requires patient capital willing to tolerate a 13-year path to break-even. Traditional venture capital with 5-7 year return horizons proves ill-suited to this timeline. Instead, IHEP aligns better with strategic investors including healthcare systems seeking long-term care improvement, foundations focused on health equity, government innovation programs like SBIR/STTR, and socially-responsible investment funds accepting longer time horizons for transformative health impact.</w:t>
      </w:r>
    </w:p>
    <w:p w14:paraId="4387CEA6"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Revenue Timing Creates Financing Gap</w:t>
      </w:r>
      <w:r w:rsidRPr="00596E60">
        <w:rPr>
          <w:rFonts w:ascii="Times New Roman" w:eastAsia="Times New Roman" w:hAnsi="Times New Roman" w:cs="Times New Roman"/>
          <w:kern w:val="0"/>
          <w14:ligatures w14:val="none"/>
        </w:rPr>
        <w:t>: The most challenging period occurs in Years 11-13 when operating costs accelerate to support commercial launch but revenue remains immature. The cumulative cash consumption during this commercialization valley reaches $45 million beyond the initial $93.6 million development investment. The financing strategy must explicitly bridge this gap through either reserved capital from earlier fundraising, revenue-based financing secured against contractual commitments, or strategic partnerships with insurers providing advance payments against future utilization.</w:t>
      </w:r>
    </w:p>
    <w:p w14:paraId="4C0FA1C0"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Cure Research as Strategic Option Value</w:t>
      </w:r>
      <w:r w:rsidRPr="00596E60">
        <w:rPr>
          <w:rFonts w:ascii="Times New Roman" w:eastAsia="Times New Roman" w:hAnsi="Times New Roman" w:cs="Times New Roman"/>
          <w:kern w:val="0"/>
          <w14:ligatures w14:val="none"/>
        </w:rPr>
        <w:t>: The financial model treats cure research revenue conservatively, recognizing only $135 million over Years 25-30 from milestone payments. In reality, successful functional cure development would generate substantially larger returns through royalty streams, but these prove difficult to model with precision given scientific uncertainty. The strategic implication suggests that IHEP's cure research program functions as a real option with asymmetric payoff structure where downside risk is limited to the research investment while upside potential reaches into billions of dollars if major breakthroughs occur.</w:t>
      </w:r>
    </w:p>
    <w:p w14:paraId="0EBD2EBA"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b/>
          <w:bCs/>
          <w:kern w:val="0"/>
          <w14:ligatures w14:val="none"/>
        </w:rPr>
        <w:t>Global Expansion Economics</w:t>
      </w:r>
      <w:r w:rsidRPr="00596E60">
        <w:rPr>
          <w:rFonts w:ascii="Times New Roman" w:eastAsia="Times New Roman" w:hAnsi="Times New Roman" w:cs="Times New Roman"/>
          <w:kern w:val="0"/>
          <w14:ligatures w14:val="none"/>
        </w:rPr>
        <w:t>: The model demonstrates that international expansion in Years 21-30 generates the highest marginal returns due to minimal incremental development cost and substantial addressable market in high-burden countries. Each new country deployment requires only $2-4 million in localization investment but can serve populations of 100,000+ patients. This suggests that aggressive international expansion should begin by Year 18 rather than waiting until Year 21, potentially advancing the mature revenue phase by 2-3 years and increasing overall NPV by $125-200 million.</w:t>
      </w:r>
    </w:p>
    <w:p w14:paraId="0AB63F3C" w14:textId="77777777" w:rsidR="00596E60" w:rsidRPr="00596E60" w:rsidRDefault="00596E60" w:rsidP="00596E60">
      <w:pPr>
        <w:spacing w:before="100" w:beforeAutospacing="1" w:after="100" w:afterAutospacing="1" w:line="240" w:lineRule="auto"/>
        <w:rPr>
          <w:rFonts w:ascii="Times New Roman" w:eastAsia="Times New Roman" w:hAnsi="Times New Roman" w:cs="Times New Roman"/>
          <w:kern w:val="0"/>
          <w14:ligatures w14:val="none"/>
        </w:rPr>
      </w:pPr>
      <w:r w:rsidRPr="00596E60">
        <w:rPr>
          <w:rFonts w:ascii="Times New Roman" w:eastAsia="Times New Roman" w:hAnsi="Times New Roman" w:cs="Times New Roman"/>
          <w:kern w:val="0"/>
          <w14:ligatures w14:val="none"/>
        </w:rPr>
        <w:t>The financial analysis conclusively demonstrates that IHEP represents not just a viable business model but an exceptionally attractive investment opportunity when evaluated over the appropriate 30-year time horizon that aligns with the program's transformative health mission.</w:t>
      </w:r>
    </w:p>
    <w:p w14:paraId="46ECC5B3" w14:textId="77777777" w:rsidR="001F2E22" w:rsidRDefault="001F2E22"/>
    <w:sectPr w:rsidR="001F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E60"/>
    <w:rsid w:val="00133B90"/>
    <w:rsid w:val="001F2E22"/>
    <w:rsid w:val="0021465A"/>
    <w:rsid w:val="00253C00"/>
    <w:rsid w:val="00596E60"/>
    <w:rsid w:val="00765DFB"/>
    <w:rsid w:val="00846760"/>
    <w:rsid w:val="00F52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AD87D4"/>
  <w15:chartTrackingRefBased/>
  <w15:docId w15:val="{F1F1E787-2147-814D-A3C1-44D13932C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6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6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6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6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E60"/>
    <w:rPr>
      <w:rFonts w:eastAsiaTheme="majorEastAsia" w:cstheme="majorBidi"/>
      <w:color w:val="272727" w:themeColor="text1" w:themeTint="D8"/>
    </w:rPr>
  </w:style>
  <w:style w:type="paragraph" w:styleId="Title">
    <w:name w:val="Title"/>
    <w:basedOn w:val="Normal"/>
    <w:next w:val="Normal"/>
    <w:link w:val="TitleChar"/>
    <w:uiPriority w:val="10"/>
    <w:qFormat/>
    <w:rsid w:val="00596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E60"/>
    <w:pPr>
      <w:spacing w:before="160"/>
      <w:jc w:val="center"/>
    </w:pPr>
    <w:rPr>
      <w:i/>
      <w:iCs/>
      <w:color w:val="404040" w:themeColor="text1" w:themeTint="BF"/>
    </w:rPr>
  </w:style>
  <w:style w:type="character" w:customStyle="1" w:styleId="QuoteChar">
    <w:name w:val="Quote Char"/>
    <w:basedOn w:val="DefaultParagraphFont"/>
    <w:link w:val="Quote"/>
    <w:uiPriority w:val="29"/>
    <w:rsid w:val="00596E60"/>
    <w:rPr>
      <w:i/>
      <w:iCs/>
      <w:color w:val="404040" w:themeColor="text1" w:themeTint="BF"/>
    </w:rPr>
  </w:style>
  <w:style w:type="paragraph" w:styleId="ListParagraph">
    <w:name w:val="List Paragraph"/>
    <w:basedOn w:val="Normal"/>
    <w:uiPriority w:val="34"/>
    <w:qFormat/>
    <w:rsid w:val="00596E60"/>
    <w:pPr>
      <w:ind w:left="720"/>
      <w:contextualSpacing/>
    </w:pPr>
  </w:style>
  <w:style w:type="character" w:styleId="IntenseEmphasis">
    <w:name w:val="Intense Emphasis"/>
    <w:basedOn w:val="DefaultParagraphFont"/>
    <w:uiPriority w:val="21"/>
    <w:qFormat/>
    <w:rsid w:val="00596E60"/>
    <w:rPr>
      <w:i/>
      <w:iCs/>
      <w:color w:val="0F4761" w:themeColor="accent1" w:themeShade="BF"/>
    </w:rPr>
  </w:style>
  <w:style w:type="paragraph" w:styleId="IntenseQuote">
    <w:name w:val="Intense Quote"/>
    <w:basedOn w:val="Normal"/>
    <w:next w:val="Normal"/>
    <w:link w:val="IntenseQuoteChar"/>
    <w:uiPriority w:val="30"/>
    <w:qFormat/>
    <w:rsid w:val="00596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E60"/>
    <w:rPr>
      <w:i/>
      <w:iCs/>
      <w:color w:val="0F4761" w:themeColor="accent1" w:themeShade="BF"/>
    </w:rPr>
  </w:style>
  <w:style w:type="character" w:styleId="IntenseReference">
    <w:name w:val="Intense Reference"/>
    <w:basedOn w:val="DefaultParagraphFont"/>
    <w:uiPriority w:val="32"/>
    <w:qFormat/>
    <w:rsid w:val="00596E60"/>
    <w:rPr>
      <w:b/>
      <w:bCs/>
      <w:smallCaps/>
      <w:color w:val="0F4761" w:themeColor="accent1" w:themeShade="BF"/>
      <w:spacing w:val="5"/>
    </w:rPr>
  </w:style>
  <w:style w:type="paragraph" w:styleId="NormalWeb">
    <w:name w:val="Normal (Web)"/>
    <w:basedOn w:val="Normal"/>
    <w:uiPriority w:val="99"/>
    <w:semiHidden/>
    <w:unhideWhenUsed/>
    <w:rsid w:val="00596E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6E60"/>
    <w:rPr>
      <w:b/>
      <w:bCs/>
    </w:rPr>
  </w:style>
  <w:style w:type="paragraph" w:styleId="HTMLPreformatted">
    <w:name w:val="HTML Preformatted"/>
    <w:basedOn w:val="Normal"/>
    <w:link w:val="HTMLPreformattedChar"/>
    <w:uiPriority w:val="99"/>
    <w:semiHidden/>
    <w:unhideWhenUsed/>
    <w:rsid w:val="00596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96E6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96E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7421</Words>
  <Characters>42302</Characters>
  <Application>Microsoft Office Word</Application>
  <DocSecurity>0</DocSecurity>
  <Lines>352</Lines>
  <Paragraphs>99</Paragraphs>
  <ScaleCrop>false</ScaleCrop>
  <Company/>
  <LinksUpToDate>false</LinksUpToDate>
  <CharactersWithSpaces>49624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2025-11-15T22:19:00Z</dcterms:created>
  <dcterms:modified xsi:type="dcterms:W3CDTF">2025-11-15T22:19:00Z</dcterms:modified>
</cp:coreProperties>
</file>