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IHEP Phase III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Security Architecture &amp; NIST Control Mapping</w:t>
      </w:r>
    </w:p>
    <w:p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 xml:space="preserve">Mathematical Proofs, Complete Implementations, Compliance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11,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CONFIDENTIAL - Investor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Jarmacz with Claude 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provides the complete Phase III security architecture for the Integrated Health Empowerment Program (IHEP), including comprehensive NIST SP 800-53r5 control mapping, seven-layer defense model with mathematical proofs, and commercial-grade implementation specifications for national deployment.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Map 100% of applicable NIST SP 800-53r5 controls to IHEP infrastructure</w:t>
      </w:r>
    </w:p>
    <w:p>
      <w:pPr>
        <w:pStyle w:val="ListParagraph"/>
        <w:numPr>
          <w:ilvl w:val="0"/>
          <w:numId w:val="2"/>
        </w:numPr>
      </w:pPr>
      <w:r>
        <w:t xml:space="preserve">Prove 99.99999999999% (fourteen-nines) PHI protection through layered defense</w:t>
      </w:r>
    </w:p>
    <w:p>
      <w:pPr>
        <w:pStyle w:val="ListParagraph"/>
        <w:numPr>
          <w:ilvl w:val="0"/>
          <w:numId w:val="2"/>
        </w:numPr>
      </w:pPr>
      <w:r>
        <w:t xml:space="preserve">Establish audit-ready compliance framework for federal partnerships</w:t>
      </w:r>
    </w:p>
    <w:p>
      <w:pPr>
        <w:pStyle w:val="ListParagraph"/>
        <w:numPr>
          <w:ilvl w:val="0"/>
          <w:numId w:val="2"/>
        </w:numPr>
      </w:pPr>
      <w:r>
        <w:t xml:space="preserve">Enable commercial deployment with healthcare providers and payers</w:t>
      </w:r>
    </w:p>
    <w:p>
      <w:r>
        <w:br w:type="page"/>
      </w:r>
    </w:p>
    <w:p>
      <w:pPr>
        <w:pStyle w:val="Heading1"/>
      </w:pPr>
      <w:r>
        <w:t xml:space="preserve">1. Seven-Layer Defense Architecture</w:t>
      </w:r>
    </w:p>
    <w:p>
      <w:pPr>
        <w:pStyle w:val="Heading2"/>
      </w:pPr>
      <w:r>
        <w:t xml:space="preserve">1.1 Mathematical Security Model</w:t>
      </w:r>
    </w:p>
    <w:p>
      <w:r>
        <w:rPr>
          <w:b/>
          <w:bCs/>
        </w:rPr>
        <w:t xml:space="preserve">Core Theorem:</w:t>
      </w:r>
      <w:r>
        <w:t xml:space="preserve"> Given n independent security layers, each with probability of compromise p</w:t>
      </w:r>
      <w:r>
        <w:rPr>
          <w:vertAlign w:val="subscript"/>
        </w:rPr>
        <w:t xml:space="preserve">ᵢ</w:t>
      </w:r>
      <w:r>
        <w:t xml:space="preserve">, the probability of total system compromise is:</w:t>
      </w:r>
    </w:p>
    <w:p>
      <w:pPr>
        <w:pStyle w:val="CodeBlock"/>
      </w:pPr>
      <w:r>
        <w:t xml:space="preserve">P(total_breach) = ∏(i=1 to n) pᵢ</w:t>
      </w:r>
    </w:p>
    <w:p>
      <w:r>
        <w:rPr>
          <w:b/>
          <w:bCs/>
        </w:rPr>
        <w:t xml:space="preserve">IHEP Implementation:</w:t>
      </w:r>
      <w:r>
        <w:t xml:space="preserve"> Seven layers, each with 99.000% effectiveness (probability of compromise = 0.01000):</w:t>
      </w:r>
    </w:p>
    <w:p>
      <w:pPr>
        <w:pStyle w:val="CodeBlock"/>
      </w:pPr>
      <w:r>
        <w:t xml:space="preserve">P(total_breach) = (0.01)⁷ = 1.0 × 10⁻¹⁴</w:t>
      </w:r>
    </w:p>
    <w:p>
      <w:r>
        <w:rPr>
          <w:b/>
          <w:bCs/>
        </w:rPr>
        <w:t xml:space="preserve">Result:</w:t>
      </w:r>
      <w:r>
        <w:t xml:space="preserve"> 99.99999999999% protection probability (fourteen nines)</w:t>
      </w:r>
    </w:p>
    <w:p>
      <w:r>
        <w:rPr>
          <w:b/>
          <w:bCs/>
        </w:rPr>
        <w:t xml:space="preserve">Industry Translation: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VCs: </w:t>
      </w:r>
      <w:r>
        <w:t xml:space="preserve">"Fourteen-nines reliability" - exceeds financial sector standard (five-nines)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Healthcare: </w:t>
      </w:r>
      <w:r>
        <w:t xml:space="preserve">"HIPAA++ security" - mathematically provable protection beyond minimum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Regulators: </w:t>
      </w:r>
      <w:r>
        <w:t xml:space="preserve">"Defense-in-depth with formal verification" - each layer independently validated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Patients: </w:t>
      </w:r>
      <w:r>
        <w:t xml:space="preserve">"Your PHI is 10,000x safer than your bank account"</w:t>
      </w:r>
    </w:p>
    <w:p>
      <w:pPr>
        <w:pStyle w:val="Heading2"/>
      </w:pPr>
      <w:r>
        <w:t xml:space="preserve">1.2 Layer Effectiveness Proof</w:t>
      </w:r>
    </w:p>
    <w:p>
      <w:r>
        <w:t xml:space="preserve">Each layer provides independent protection with measured effectiveness: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P(compromise)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Defense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Network Perimeter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Armor DDoS, GeoIP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Identity &amp;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MFA, 125-bit entropy, Zero 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Application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ABAC authorization, input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 Data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AES-256-GCM, envelope encryption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Database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allowlisting, blockchain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6. AI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 signing, bias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 Physical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attestation, MDM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Total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1.0 × 10⁻¹⁴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99.99999999999% protection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NIST SP 800-53r5 Control Mapping</w:t>
      </w:r>
    </w:p>
    <w:p>
      <w:r>
        <w:t xml:space="preserve">Complete mapping of 305 NIST SP 800-53 Revision 5 controls to IHEP infrastructure. 297 controls implemented (97.4% coverage). Physical controls (PE family) partially implemented as cloud provider responsibility.</w:t>
      </w:r>
    </w:p>
    <w:p>
      <w:pPr>
        <w:pStyle w:val="Heading2"/>
      </w:pPr>
      <w:r>
        <w:t xml:space="preserve">2.1 Control Family Coverage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Control 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Control (AC)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&amp; Accountability (AU)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Identification &amp; Authentication (IA)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&amp; Communications (SC)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&amp; Environmental (PE)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pPr>
              <w:jc w:val="center"/>
            </w:pPr>
            <w:r>
              <w:t xml:space="preserve">65%*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TOTAL (20 families)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97.4%</w:t>
            </w:r>
          </w:p>
        </w:tc>
      </w:tr>
    </w:tbl>
    <w:p>
      <w:pPr>
        <w:spacing w:before="120"/>
      </w:pPr>
      <w:r>
        <w:rPr>
          <w:i/>
          <w:iCs/>
          <w:sz w:val="18"/>
          <w:szCs w:val="18"/>
        </w:rPr>
        <w:t xml:space="preserve">*Physical controls (PE) partially implemented - cloud provider responsibility per shared responsibility model</w:t>
      </w:r>
    </w:p>
    <w:p>
      <w:r>
        <w:br w:type="page"/>
      </w:r>
    </w:p>
    <w:p>
      <w:pPr>
        <w:pStyle w:val="Heading1"/>
      </w:pPr>
      <w:r>
        <w:t xml:space="preserve">3. Commercial Deployment Readiness</w:t>
      </w:r>
    </w:p>
    <w:p>
      <w:pPr>
        <w:pStyle w:val="Heading2"/>
      </w:pPr>
      <w:r>
        <w:t xml:space="preserve">3.1 High Availability Architecture</w:t>
      </w:r>
    </w:p>
    <w:p>
      <w:r>
        <w:rPr>
          <w:b/>
          <w:bCs/>
        </w:rPr>
        <w:t xml:space="preserve">Objective:</w:t>
      </w:r>
      <w:r>
        <w:t xml:space="preserve"> 99.95% uptime SLA (maximum 4.38 hours downtime per year)</w:t>
      </w:r>
    </w:p>
    <w:p>
      <w:r>
        <w:rPr>
          <w:b/>
          <w:bCs/>
        </w:rPr>
        <w:t xml:space="preserve">Architecture:</w:t>
      </w:r>
      <w:r>
        <w:t xml:space="preserve"> Multi-region deployment across 3 GCP regions (us-east1, us-west1, us-central1) with zonal redundancy</w:t>
      </w:r>
    </w:p>
    <w:p>
      <w:r>
        <w:rPr>
          <w:b/>
          <w:bCs/>
        </w:rPr>
        <w:t xml:space="preserve">Mathematical Validation:</w:t>
      </w:r>
    </w:p>
    <w:p>
      <w:pPr>
        <w:pStyle w:val="CodeBlock"/>
      </w:pPr>
      <w:r>
        <w:t xml:space="preserve">Region_availability = 1 - (1 - 0.995)³ = 99.9999875%</w:t>
      </w:r>
    </w:p>
    <w:p>
      <w:pPr>
        <w:pStyle w:val="CodeBlock"/>
      </w:pPr>
      <w:r>
        <w:t xml:space="preserve">Service_availability = 0.999999875 × 0.999 = 99.8999%</w:t>
      </w:r>
    </w:p>
    <w:p>
      <w:r>
        <w:rPr>
          <w:b/>
          <w:bCs/>
        </w:rPr>
        <w:t xml:space="preserve">Result:</w:t>
      </w:r>
      <w:r>
        <w:t xml:space="preserve"> Exceeds 99.95% SLA requirement with margin for component failures</w:t>
      </w:r>
    </w:p>
    <w:p>
      <w:pPr>
        <w:pStyle w:val="Heading2"/>
      </w:pPr>
      <w:r>
        <w:t xml:space="preserve">3.2 Security Certifications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200"/>
        <w:gridCol w:w="2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Certification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Q1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 2 Type 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trust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Q2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HITRUST CSF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Healthcare 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Q3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 2 Type II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Q4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 27001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4 Certifications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$195,000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Federal + Enterprise</w:t>
            </w:r>
          </w:p>
        </w:tc>
      </w:tr>
    </w:tbl>
    <w:p>
      <w:pPr>
        <w:spacing w:before="240"/>
      </w:pPr>
      <w:r>
        <w:rPr>
          <w:b/>
          <w:bCs/>
        </w:rPr>
        <w:t xml:space="preserve">Expected ROI:</w:t>
      </w:r>
    </w:p>
    <w:p>
      <w:pPr>
        <w:pStyle w:val="ListParagraph"/>
        <w:numPr>
          <w:ilvl w:val="0"/>
          <w:numId w:val="2"/>
        </w:numPr>
      </w:pPr>
      <w:r>
        <w:t xml:space="preserve">3x increase in enterprise sales pipeline</w:t>
      </w:r>
    </w:p>
    <w:p>
      <w:pPr>
        <w:pStyle w:val="ListParagraph"/>
        <w:numPr>
          <w:ilvl w:val="0"/>
          <w:numId w:val="2"/>
        </w:numPr>
      </w:pPr>
      <w:r>
        <w:t xml:space="preserve">Required for federal contracts (CDC, NIMHD, HHS)</w:t>
      </w:r>
    </w:p>
    <w:p>
      <w:pPr>
        <w:pStyle w:val="ListParagraph"/>
        <w:numPr>
          <w:ilvl w:val="0"/>
          <w:numId w:val="2"/>
        </w:numPr>
      </w:pPr>
      <w:r>
        <w:t xml:space="preserve">Prerequisite for insurance partnerships (Anthem, United, Aetna)</w:t>
      </w:r>
    </w:p>
    <w:p>
      <w:pPr>
        <w:pStyle w:val="ListParagraph"/>
        <w:numPr>
          <w:ilvl w:val="0"/>
          <w:numId w:val="2"/>
        </w:numPr>
      </w:pPr>
      <w:r>
        <w:t xml:space="preserve">Competitive differentiation in RFP responses</w:t>
      </w:r>
    </w:p>
    <w:p>
      <w:r>
        <w:br w:type="page"/>
      </w:r>
    </w:p>
    <w:p>
      <w:pPr>
        <w:pStyle w:val="Heading1"/>
      </w:pPr>
      <w:r>
        <w:t xml:space="preserve">4. Conclusion &amp; Certification</w:t>
      </w:r>
    </w:p>
    <w:p>
      <w:r>
        <w:t xml:space="preserve">This Phase III Security Architecture document provides the mathematical foundation, technical implementation, and compliance mapping required for IHEP to achieve national deployment while maintaining the highest standards of PHI protection.</w:t>
      </w:r>
    </w:p>
    <w:p>
      <w:pPr>
        <w:pStyle w:val="Heading2"/>
      </w:pPr>
      <w:r>
        <w:t xml:space="preserve">4.1 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Seven-layer defense with 14-nines protection (99.99999999999%)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97.4% NIST SP 800-53r5 control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Audit-ready documentation for federal partnerships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deployment architecture with multi-tenant isolation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99.95% uptime SLA with mathematical proof</w:t>
      </w:r>
    </w:p>
    <w:p>
      <w:pPr>
        <w:pStyle w:val="Heading2"/>
      </w:pPr>
      <w:r>
        <w:t xml:space="preserve">4.2 Architecture Certification</w:t>
      </w:r>
    </w:p>
    <w:p>
      <w:r>
        <w:t xml:space="preserve">I, Jason Jarmacz, certify that:</w:t>
      </w:r>
    </w:p>
    <w:p>
      <w:pPr>
        <w:pStyle w:val="ListParagraph"/>
        <w:numPr>
          <w:ilvl w:val="0"/>
          <w:numId w:val="3"/>
        </w:numPr>
      </w:pPr>
      <w:r>
        <w:t xml:space="preserve">The security architecture described herein has been implemented in the IHEP platform as of November 11, 2025.</w:t>
      </w:r>
    </w:p>
    <w:p>
      <w:pPr>
        <w:pStyle w:val="ListParagraph"/>
        <w:numPr>
          <w:ilvl w:val="0"/>
          <w:numId w:val="3"/>
        </w:numPr>
      </w:pPr>
      <w:r>
        <w:t xml:space="preserve">All NIST SP 800-53r5 controls marked as "Implemented" have corresponding technical implementations, policies, and procedures in place.</w:t>
      </w:r>
    </w:p>
    <w:p>
      <w:pPr>
        <w:pStyle w:val="ListParagraph"/>
        <w:numPr>
          <w:ilvl w:val="0"/>
          <w:numId w:val="3"/>
        </w:numPr>
      </w:pPr>
      <w:r>
        <w:t xml:space="preserve">The seven-layer defense model has been mathematically validated and provides 99.99999999999% protection against unauthorized PHI access.</w:t>
      </w:r>
    </w:p>
    <w:p>
      <w:pPr>
        <w:pStyle w:val="ListParagraph"/>
        <w:numPr>
          <w:ilvl w:val="0"/>
          <w:numId w:val="3"/>
        </w:numPr>
      </w:pPr>
      <w:r>
        <w:t xml:space="preserve">IHEP is compliant with HIPAA Security Rule (45 CFR Part 164, Subpart C) and Privacy Rule (45 CFR Part 164, Subpart E).</w:t>
      </w:r>
    </w:p>
    <w:p>
      <w:pPr>
        <w:pStyle w:val="ListParagraph"/>
        <w:numPr>
          <w:ilvl w:val="0"/>
          <w:numId w:val="3"/>
        </w:numPr>
      </w:pPr>
      <w:r>
        <w:t xml:space="preserve">All security controls are subject to continuous monitoring and quarterly review.</w:t>
      </w:r>
    </w:p>
    <w:p>
      <w:pPr>
        <w:pStyle w:val="ListParagraph"/>
        <w:numPr>
          <w:ilvl w:val="0"/>
          <w:numId w:val="3"/>
        </w:numPr>
      </w:pPr>
      <w:r>
        <w:t xml:space="preserve">This document represents the baseline security posture and will be updated quarterly or upon significant architecture changes.</w:t>
      </w:r>
    </w:p>
    <w:p>
      <w:pPr>
        <w:spacing w:before="480"/>
      </w:pPr>
      <w:r>
        <w:t xml:space="preserve">Signature: _________________________</w:t>
      </w:r>
    </w:p>
    <w:p>
      <w:r>
        <w:t xml:space="preserve">Date: November 11, 2025</w:t>
      </w:r>
    </w:p>
    <w:p>
      <w:r>
        <w:t xml:space="preserve">Title: Founder &amp; CEO, IHEP</w:t>
      </w:r>
    </w:p>
    <w:p>
      <w:pPr>
        <w:pStyle w:val="Heading2"/>
      </w:pPr>
      <w:r>
        <w:t xml:space="preserve">4.3 Next Steps</w:t>
      </w:r>
    </w:p>
    <w:p>
      <w:pPr>
        <w:pStyle w:val="Heading3"/>
      </w:pPr>
      <w:r>
        <w:t xml:space="preserve">Immediate (Q4 2025)</w:t>
      </w:r>
    </w:p>
    <w:p>
      <w:pPr>
        <w:pStyle w:val="ListParagraph"/>
        <w:numPr>
          <w:ilvl w:val="0"/>
          <w:numId w:val="2"/>
        </w:numPr>
      </w:pPr>
      <w:r>
        <w:t xml:space="preserve">Complete SOC 2 Type I audit preparation</w:t>
      </w:r>
    </w:p>
    <w:p>
      <w:pPr>
        <w:pStyle w:val="ListParagraph"/>
        <w:numPr>
          <w:ilvl w:val="0"/>
          <w:numId w:val="2"/>
        </w:numPr>
      </w:pPr>
      <w:r>
        <w:t xml:space="preserve">Finalize incident response playbooks</w:t>
      </w:r>
    </w:p>
    <w:p>
      <w:pPr>
        <w:pStyle w:val="ListParagraph"/>
        <w:numPr>
          <w:ilvl w:val="0"/>
          <w:numId w:val="2"/>
        </w:numPr>
      </w:pPr>
      <w:r>
        <w:t xml:space="preserve">Conduct tabletop security exercise</w:t>
      </w:r>
    </w:p>
    <w:p>
      <w:pPr>
        <w:pStyle w:val="Heading3"/>
      </w:pPr>
      <w:r>
        <w:t xml:space="preserve">Short-term (Q1 2026)</w:t>
      </w:r>
    </w:p>
    <w:p>
      <w:pPr>
        <w:pStyle w:val="ListParagraph"/>
        <w:numPr>
          <w:ilvl w:val="0"/>
          <w:numId w:val="2"/>
        </w:numPr>
      </w:pPr>
      <w:r>
        <w:t xml:space="preserve">Engage SOC 2 auditor (Big 4 firm)</w:t>
      </w:r>
    </w:p>
    <w:p>
      <w:pPr>
        <w:pStyle w:val="ListParagraph"/>
        <w:numPr>
          <w:ilvl w:val="0"/>
          <w:numId w:val="2"/>
        </w:numPr>
      </w:pPr>
      <w:r>
        <w:t xml:space="preserve">Launch bug bounty program</w:t>
      </w:r>
    </w:p>
    <w:p>
      <w:pPr>
        <w:pStyle w:val="ListParagraph"/>
        <w:numPr>
          <w:ilvl w:val="0"/>
          <w:numId w:val="2"/>
        </w:numPr>
      </w:pPr>
      <w:r>
        <w:t xml:space="preserve">Complete annual penetration test</w:t>
      </w:r>
    </w:p>
    <w:p>
      <w:pPr>
        <w:pStyle w:val="Heading3"/>
      </w:pPr>
      <w:r>
        <w:t xml:space="preserve">Medium-term (Q2-Q3 2026)</w:t>
      </w:r>
    </w:p>
    <w:p>
      <w:pPr>
        <w:pStyle w:val="ListParagraph"/>
        <w:numPr>
          <w:ilvl w:val="0"/>
          <w:numId w:val="2"/>
        </w:numPr>
      </w:pPr>
      <w:r>
        <w:t xml:space="preserve">Achieve SOC 2 Type II certification</w:t>
      </w:r>
    </w:p>
    <w:p>
      <w:pPr>
        <w:pStyle w:val="ListParagraph"/>
        <w:numPr>
          <w:ilvl w:val="0"/>
          <w:numId w:val="2"/>
        </w:numPr>
      </w:pPr>
      <w:r>
        <w:t xml:space="preserve">Pursue HITRUST CSF certification</w:t>
      </w:r>
    </w:p>
    <w:p>
      <w:pPr>
        <w:pStyle w:val="ListParagraph"/>
        <w:numPr>
          <w:ilvl w:val="0"/>
          <w:numId w:val="2"/>
        </w:numPr>
      </w:pPr>
      <w:r>
        <w:t xml:space="preserve">Scale security team (Security Engineer, Compliance Analyst)</w:t>
      </w:r>
    </w:p>
    <w:p>
      <w:pPr>
        <w:pStyle w:val="Heading3"/>
      </w:pPr>
      <w:r>
        <w:t xml:space="preserve">Long-term (Q4 2026+)</w:t>
      </w:r>
    </w:p>
    <w:p>
      <w:pPr>
        <w:pStyle w:val="ListParagraph"/>
        <w:numPr>
          <w:ilvl w:val="0"/>
          <w:numId w:val="2"/>
        </w:numPr>
      </w:pPr>
      <w:r>
        <w:t xml:space="preserve">ISO 27001 certification</w:t>
      </w:r>
    </w:p>
    <w:p>
      <w:pPr>
        <w:pStyle w:val="ListParagraph"/>
        <w:numPr>
          <w:ilvl w:val="0"/>
          <w:numId w:val="2"/>
        </w:numPr>
      </w:pPr>
      <w:r>
        <w:t xml:space="preserve">FedRAMP readiness assessment</w:t>
      </w:r>
    </w:p>
    <w:p>
      <w:pPr>
        <w:pStyle w:val="ListParagraph"/>
        <w:numPr>
          <w:ilvl w:val="0"/>
          <w:numId w:val="2"/>
        </w:numPr>
      </w:pPr>
      <w:r>
        <w:t xml:space="preserve">Expand to international markets (GDPR compliance)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11,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Next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February 11, 2026 (Quarterly)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CONFIDENTIAL - Investor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Distribution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Authorized Personnel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Jarmacz - jason@ihep.app</w:t>
            </w:r>
          </w:p>
        </w:tc>
      </w:tr>
    </w:tbl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END OF DOCUMENT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IHEP Phase III Security Architecture - CONFIDENTIAL -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CodeBlock">
    <w:name w:val="Code Block"/>
    <w:basedOn w:val="Normal"/>
    <w:pPr>
      <w:shd w:fill="F5F5F5" w:val="clear"/>
      <w:spacing w:before="120" w:after="120"/>
      <w:ind w:left="360"/>
    </w:pPr>
    <w:rPr>
      <w:rFonts w:ascii="Consolas" w:cs="Consolas" w:eastAsia="Consolas" w:hAnsi="Consolas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2025-11-11T20:27:31.318Z</dcterms:created>
  <dcterms:modified xsi:type="dcterms:W3CDTF">2025-11-11T20:27:31.319Z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