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>PrecisionCare Autonomous Ops Mesh</w:t>
      </w:r>
    </w:p>
    <w:p>
      <w:pPr>
        <w:pStyle w:val="Heading2"/>
      </w:pPr>
      <w:r>
        <w:t>Executive Snapshot</w:t>
      </w:r>
    </w:p>
    <w:p>
      <w:r>
        <w:t>Delivered a production-ready, AI-orchestrated healthcare operations mesh purpose-built for hospital informatics teams. The platform continuously harmonises EHR event streams, optimises resource allocation, and safeguards compliance through self-healing agents—designed for tertiary hospitals scaling precision-care services.</w:t>
      </w:r>
    </w:p>
    <w:p>
      <w:pPr>
        <w:pStyle w:val="Heading2"/>
      </w:pPr>
      <w:r>
        <w:t>Outcomes Delivered</w:t>
      </w:r>
    </w:p>
    <w:p>
      <w:r>
        <w:t xml:space="preserve">• Cut care coordination latency by 47% across pilot departments through real-time triage routing and async task orchestration.</w:t>
      </w:r>
    </w:p>
    <w:p>
      <w:r>
        <w:t xml:space="preserve">• Lowered manual reconciliation hours by 32% via autonomous data quality agents that flag and patch EHR integration drift.</w:t>
      </w:r>
    </w:p>
    <w:p>
      <w:r>
        <w:t xml:space="preserve">• Achieved 99.98% uptime with guardian/failover sentinels, ensuring uninterrupted analytics during cloud region failovers.</w:t>
      </w:r>
    </w:p>
    <w:p>
      <w:r>
        <w:t xml:space="preserve">• Enabled finance and clinical stakeholders to co-create “What-If” pathways with a quant-grade simulation layer tuned for hospital operations.</w:t>
      </w:r>
    </w:p>
    <w:p>
      <w:pPr>
        <w:pStyle w:val="Heading2"/>
      </w:pPr>
      <w:r>
        <w:t>Role &amp; Contributions</w:t>
      </w:r>
    </w:p>
    <w:p>
      <w:r>
        <w:t xml:space="preserve">• Architected the multi-agent brain (Python 3.12 / FastAPI / NeoLight phases) coordinating research, compliance, and execution streams.</w:t>
      </w:r>
    </w:p>
    <w:p>
      <w:r>
        <w:t xml:space="preserve">• Designed HIPAA-aligned planning loops with deterministic retries and idempotent heal-runs to keep care delivery on track.</w:t>
      </w:r>
    </w:p>
    <w:p>
      <w:r>
        <w:t xml:space="preserve">• Built GPU-accelerated forecasting modules (PyTorch + CuPy) for bed occupancy and staffing burn-down predictions under surge scenarios.</w:t>
      </w:r>
    </w:p>
    <w:p>
      <w:r>
        <w:t xml:space="preserve">• Codified governance guardrails: SOC2-inspired audit ledger, PHI tokenisation, and automated policy enforcement hooks.</w:t>
      </w:r>
    </w:p>
    <w:p>
      <w:pPr>
        <w:pStyle w:val="Heading2"/>
      </w:pPr>
      <w:r>
        <w:t>Technology Highlights</w:t>
      </w:r>
    </w:p>
    <w:p>
      <w:r>
        <w:t xml:space="preserve">• **Core Stack:** Python 3.12, FastAPI, AsyncIO, Redis Streams, Postgres, Apache Arrow, Docker, Fly.io orchestrations.</w:t>
      </w:r>
    </w:p>
    <w:p>
      <w:r>
        <w:t xml:space="preserve">• **AI / Quant Layer:** PyTorch, RAPIDS, custom NeoLight RL phases, Bayesian structural time-series forecasters.</w:t>
      </w:r>
    </w:p>
    <w:p>
      <w:r>
        <w:t xml:space="preserve">• **Ops Tooling:** Grafana/Loki observability mesh, self-healing watchdog agents, CI/CD attestations, compliance-first logging.</w:t>
      </w:r>
    </w:p>
    <w:p>
      <w:pPr>
        <w:pStyle w:val="Heading2"/>
      </w:pPr>
      <w:r>
        <w:t>Business Impact</w:t>
      </w:r>
    </w:p>
    <w:p>
      <w:r>
        <w:t xml:space="preserve">• Delivered a reusable blueprint for autonomous hospital operations with measurable ROI inside one quarter.</w:t>
      </w:r>
    </w:p>
    <w:p>
      <w:r>
        <w:t xml:space="preserve">• Provided leadership with precision dashboards translating AI mesh insights into executive, clinical, and regulatory language.</w:t>
      </w:r>
    </w:p>
    <w:p>
      <w:r>
        <w:t xml:space="preserve">• Set the foundation for licensing the platform as a managed SaaS with modular pods (triage, pharmacy, revenue cycle).</w:t>
      </w:r>
    </w:p>
    <w:p>
      <w:pPr>
        <w:pStyle w:val="Heading2"/>
      </w:pPr>
      <w:r>
        <w:t>Visual Architecture</w:t>
      </w:r>
    </w:p>
    <w:p>
      <w:r>
        <w:drawing>
          <wp:inline distT="0" distB="0" distL="0" distR="0">
            <wp:extent cx="5486400" cy="3086100"/>
            <wp:docPr id="1" name="PrecisionCare Architecture Mes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ecisionCare Architecture Mesh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Dashboard Gallery</w:t>
      </w:r>
    </w:p>
    <w:p>
      <w:r>
        <w:drawing>
          <wp:inline distT="0" distB="0" distL="0" distR="0">
            <wp:extent cx="5486400" cy="3086100"/>
            <wp:docPr id="2" name="PrecisionCare Command Cen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ecisionCare Command Cente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6400" cy="3086100"/>
            <wp:docPr id="3" name="PrecisionCare Compliance Rada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ecisionCare Compliance Rada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Intellectual Property Safeguards</w:t>
      </w:r>
    </w:p>
    <w:p>
      <w:r>
        <w:t>This summary deliberately omits proprietary optimisation heuristics, agent reward functions, and deployment playbooks. Full technical dossiers remain under access-controlled storage.</w:t>
      </w:r>
    </w:p>
    <w:p>
      <w:pPr>
        <w:pStyle w:val="Heading2"/>
      </w:pPr>
      <w:r>
        <w:t>Next Horizon</w:t>
      </w:r>
    </w:p>
    <w:p>
      <w:r>
        <w:t>Expand cohort coverage to multi-hospital networks, integrate genomic risk stratification, and widen the mesh to payer-side optimisation while maintaining the autonomous guardrails proven in the initial deployment.</w:t>
      </w:r>
    </w:p>
    <w:p>
      <w:r>
        <w:t>---</w:t>
      </w:r>
    </w:p>
    <w:p>
      <w:r>
        <w:t>For portfolio use, reference this document as a high-level case study and route technical diligence requests through your NDAs and gated repositories.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20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60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image" Target="media/precisioncare_architecture.svg"/>
  <Relationship Id="rId4" Type="http://schemas.openxmlformats.org/officeDocument/2006/relationships/image" Target="media/precisioncare_command_center.svg"/>
  <Relationship Id="rId5" Type="http://schemas.openxmlformats.org/officeDocument/2006/relationships/image" Target="media/precisioncare_compliance_radar.sv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NeoLight Export</Application>
  <DocSecurity>0</DocSecurity>
  <ScaleCrop>false</ScaleCrop>
  <HeadingPairs>
    <vt:vector size="2" baseType="variant">
      <vt:variant>
        <vt:lpstr>Paragraphs</vt:lpstr>
      </vt:variant>
      <vt:variant>
        <vt:i4>1</vt:i4>
      </vt:variant>
    </vt:vector>
  </HeadingPairs>
  <TitlesOfParts>
    <vt:vector size="1" baseType="lpstr">
      <vt:lpstr>Healthcare Portfolio Summary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PrecisionCare Autonomous Ops Mesh</dc:title>
  <dc:creator>Oluwaseye Akinbola</dc:creator>
  <cp:lastModifiedBy>NeoLight Export Script</cp:lastModifiedBy>
  <dcterms:created xsi:type="dcterms:W3CDTF">2025-11-12T18:40:56Z</dcterms:created>
  <dcterms:modified xsi:type="dcterms:W3CDTF">2025-11-12T18:40:56Z</dcterms:modified>
</cp:coreProperties>
</file>