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맑은 고딕" w:cs="맑은 고딕" w:eastAsia="맑은 고딕" w:hAnsi="맑은 고딕"/>
          <w:b/>
          <w:bCs/>
          <w:sz w:val="30"/>
          <w:szCs w:val="30"/>
        </w:rPr>
        <w:t xml:space="preserve">2026 국민대학교</w:t>
      </w:r>
    </w:p>
    <w:p>
      <w:pPr>
        <w:spacing w:after="2400"/>
      </w:pPr>
      <w:r>
        <w:rPr>
          <w:rFonts w:ascii="맑은 고딕" w:cs="맑은 고딕" w:eastAsia="맑은 고딕" w:hAnsi="맑은 고딕"/>
          <w:b/>
          <w:bCs/>
          <w:sz w:val="30"/>
          <w:szCs w:val="30"/>
        </w:rPr>
        <w:t xml:space="preserve">기후변화대응 비즈니스 아이디어 공모전</w:t>
      </w:r>
    </w:p>
    <w:p>
      <w:pPr>
        <w:spacing w:after="120"/>
      </w:pPr>
      <w:r>
        <w:rPr>
          <w:rFonts w:ascii="맑은 고딕" w:cs="맑은 고딕" w:eastAsia="맑은 고딕" w:hAnsi="맑은 고딕"/>
          <w:b/>
          <w:bCs/>
          <w:color w:val="002060"/>
          <w:sz w:val="60"/>
          <w:szCs w:val="60"/>
        </w:rPr>
        <w:t xml:space="preserve">적응 영수증(Adaptation Receipt)</w:t>
      </w:r>
    </w:p>
    <w:p>
      <w:pPr>
        <w:spacing w:after="240"/>
      </w:pPr>
      <w:r>
        <w:rPr>
          <w:rFonts w:ascii="맑은 고딕" w:cs="맑은 고딕" w:eastAsia="맑은 고딕" w:hAnsi="맑은 고딕"/>
          <w:color w:val="002060"/>
          <w:sz w:val="34"/>
          <w:szCs w:val="34"/>
        </w:rPr>
        <w:t xml:space="preserve">위성 관측 기반 기후적응 사업 성과·형평성 검증 서비스</w:t>
      </w:r>
    </w:p>
    <w:p>
      <w:pPr>
        <w:spacing w:after="2600"/>
      </w:pPr>
      <w:r>
        <w:rPr>
          <w:rFonts w:ascii="맑은 고딕" w:cs="맑은 고딕" w:eastAsia="맑은 고딕" w:hAnsi="맑은 고딕"/>
          <w:color w:val="595959"/>
          <w:sz w:val="20"/>
          <w:szCs w:val="20"/>
        </w:rPr>
        <w:t xml:space="preserve">공공 위성 아카이브와 준실험 설계로 집행된 적응 예산의 효과를 측정하고, 취약계층에게 실제로 도달했는지를 매년 보고하는 B2G 데이터 서비스</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trHeight w:val="1300" w:hRule="atLeast"/>
        </w:trPr>
        <w:tc>
          <w:tcPr>
            <w:tcW w:type="dxa" w:w="9026"/>
            <w:tcBorders>
              <w:top w:val="none" w:color="FFFFFF" w:sz="0"/>
              <w:left w:val="none" w:color="FFFFFF" w:sz="0"/>
              <w:bottom w:val="none" w:color="FFFFFF" w:sz="0"/>
              <w:right w:val="none" w:color="FFFFFF" w:sz="0"/>
            </w:tcBorders>
            <w:shd w:fill="002060" w:color="auto" w:val="clear"/>
            <w:tcMar>
              <w:top w:type="dxa" w:w="160"/>
              <w:left w:type="dxa" w:w="240"/>
              <w:bottom w:type="dxa" w:w="160"/>
              <w:right w:type="dxa" w:w="240"/>
            </w:tcMar>
            <w:vAlign w:val="center"/>
          </w:tcPr>
          <w:p>
            <w:pPr>
              <w:spacing w:after="60"/>
            </w:pPr>
            <w:r>
              <w:rPr>
                <w:rFonts w:ascii="맑은 고딕" w:cs="맑은 고딕" w:eastAsia="맑은 고딕" w:hAnsi="맑은 고딕"/>
                <w:b/>
                <w:bCs/>
                <w:color w:val="FFFFFF"/>
                <w:sz w:val="20"/>
                <w:szCs w:val="20"/>
              </w:rPr>
              <w:t xml:space="preserve">팀명: [팀명]</w:t>
            </w:r>
          </w:p>
          <w:p>
            <w:pPr>
              <w:spacing w:after="60"/>
            </w:pPr>
            <w:r>
              <w:rPr>
                <w:rFonts w:ascii="맑은 고딕" w:cs="맑은 고딕" w:eastAsia="맑은 고딕" w:hAnsi="맑은 고딕"/>
                <w:color w:val="FFFFFF"/>
                <w:sz w:val="20"/>
                <w:szCs w:val="20"/>
              </w:rPr>
              <w:t xml:space="preserve">팀원: 하수범(국민대학교 [학과] [학년], 팀장) · [팀원 2](국민대학교 [학과] [학년]) · [팀원 3]([HUSS 참여대학] [학과] [학년]) · [팀원 4]([HUSS 참여대학] [학과] [학년])</w:t>
            </w:r>
          </w:p>
          <w:p>
            <w:pPr>
              <w:spacing w:after="0"/>
            </w:pPr>
            <w:r>
              <w:rPr>
                <w:rFonts w:ascii="맑은 고딕" w:cs="맑은 고딕" w:eastAsia="맑은 고딕" w:hAnsi="맑은 고딕"/>
                <w:color w:val="FFFFFF"/>
                <w:sz w:val="20"/>
                <w:szCs w:val="20"/>
              </w:rPr>
              <w:t xml:space="preserve">제출일: 2026년 11월 13일</w:t>
            </w:r>
          </w:p>
        </w:tc>
      </w:tr>
    </w:tbl>
    <w:p>
      <w:r>
        <w:br w:type="page"/>
      </w:r>
    </w:p>
    <w:p>
      <w:pPr>
        <w:pStyle w:val="Heading1"/>
        <w:spacing w:after="70" w:before="160"/>
      </w:pPr>
      <w:r>
        <w:rPr>
          <w:rFonts w:ascii="맑은 고딕" w:cs="맑은 고딕" w:eastAsia="맑은 고딕" w:hAnsi="맑은 고딕"/>
          <w:b/>
          <w:bCs/>
          <w:color w:val="F24F4F"/>
          <w:sz w:val="30"/>
          <w:szCs w:val="30"/>
        </w:rPr>
        <w:t xml:space="preserve">비즈니스 아이디어 개요</w:t>
      </w:r>
    </w:p>
    <w:p>
      <w:pPr>
        <w:spacing w:after="60" w:before="0" w:line="264"/>
        <w:jc w:val="both"/>
      </w:pPr>
      <w:r>
        <w:rPr>
          <w:rFonts w:ascii="맑은 고딕" w:cs="맑은 고딕" w:eastAsia="맑은 고딕" w:hAnsi="맑은 고딕"/>
          <w:b/>
          <w:bCs/>
          <w:sz w:val="20"/>
          <w:szCs w:val="20"/>
        </w:rPr>
        <w:t xml:space="preserve">아이디어 제목. </w:t>
      </w:r>
      <w:r>
        <w:rPr>
          <w:rFonts w:ascii="맑은 고딕" w:cs="맑은 고딕" w:eastAsia="맑은 고딕" w:hAnsi="맑은 고딕"/>
          <w:sz w:val="20"/>
          <w:szCs w:val="20"/>
        </w:rPr>
        <w:t xml:space="preserve">적응 영수증(Adaptation Receipt): 위성 관측 기반 기후적응 사업 성과·형평성 검증 서비스</w:t>
      </w:r>
    </w:p>
    <w:p>
      <w:pPr>
        <w:spacing w:after="60" w:before="0" w:line="264"/>
        <w:jc w:val="both"/>
      </w:pPr>
      <w:r>
        <w:rPr>
          <w:rFonts w:ascii="맑은 고딕" w:cs="맑은 고딕" w:eastAsia="맑은 고딕" w:hAnsi="맑은 고딕"/>
          <w:b/>
          <w:bCs/>
          <w:sz w:val="20"/>
          <w:szCs w:val="20"/>
        </w:rPr>
        <w:t xml:space="preserve">아이디어 개념. </w:t>
      </w:r>
      <w:r>
        <w:rPr>
          <w:rFonts w:ascii="맑은 고딕" w:cs="맑은 고딕" w:eastAsia="맑은 고딕" w:hAnsi="맑은 고딕"/>
          <w:sz w:val="20"/>
          <w:szCs w:val="20"/>
        </w:rPr>
        <w:t xml:space="preserve">기후적응 예산에는 집행 내역을 증빙하는 서류는 있으나, 그 지출이 현장을 바꾸었는지를 증빙하는 문서는 없다. 적응 영수증은 이 공백을 메우는 '효과 영수증'이다. 지방자치단체와 공공기관이 집행한 기후적응 사업(산불 피해지 복구·복원, 하천·배수 정비, 수변 복원, 옥상 차열·녹화 등)의 효과와 수혜 형평성을 공개 위성 관측 자료와 준실험 설계로 사후 검증하여, 법정 이행점검 보고서와 지속가능성 공시에 첨부할 수 있는 정량 성과 문서로 제공하는 기업·공공 대상(B2G·B2B) 데이터 서비스이다. 온실가스 감축 분야에는 측정·보고·검증(MRV) 체계가 제도화되어 있으나, 적응 분야는 투입(예산·건수) 중심으로 보고될 뿐 결과(효과)는 검증되지 않는다. 본 서비스는 이 공백을 '사전 위험 예측'이 아닌 '사후 성과 검증'으로 메운다.</w:t>
      </w:r>
    </w:p>
    <w:p>
      <w:pPr>
        <w:spacing w:after="60" w:before="0" w:line="264"/>
        <w:jc w:val="both"/>
      </w:pPr>
      <w:r>
        <w:rPr>
          <w:rFonts w:ascii="맑은 고딕" w:cs="맑은 고딕" w:eastAsia="맑은 고딕" w:hAnsi="맑은 고딕"/>
          <w:b/>
          <w:bCs/>
          <w:sz w:val="20"/>
          <w:szCs w:val="20"/>
        </w:rPr>
        <w:t xml:space="preserve">목표. </w:t>
      </w:r>
      <w:r>
        <w:rPr>
          <w:rFonts w:ascii="맑은 고딕" w:cs="맑은 고딕" w:eastAsia="맑은 고딕" w:hAnsi="맑은 고딕"/>
          <w:sz w:val="20"/>
          <w:szCs w:val="20"/>
        </w:rPr>
        <w:t xml:space="preserve">① 2027년 3월까지 산불 복구, 침수 방재, 열 저감의 세 사업 유형에 대해 위성 지표·기준선·대조군·효과크기 보고 양식을 포함한 표준 검증 프로토콜과 사업별 성과 카드를 확립한다. ② 2027년 4월 30일 이행점검 제출 주기에 맞춰 기초지자체 1곳의 이행점검 보고서 부록을 납품한다. ③ 3년차까지 지자체·공공기관 20곳 이상에 연간 검증 패키지를 적용하고, 기업 지속가능성 공시의 적응 조치 성과 입증 모듈로 확장한다. 성과지표는 검증 사업 수, 효과 검출률(검정력 충족 비율), 보고서 인용 건수, 재배분된 예산액으로 정의한다.</w:t>
      </w:r>
    </w:p>
    <w:p>
      <w:pPr>
        <w:spacing w:after="60" w:before="0" w:line="264"/>
        <w:jc w:val="both"/>
      </w:pPr>
      <w:r>
        <w:rPr>
          <w:rFonts w:ascii="맑은 고딕" w:cs="맑은 고딕" w:eastAsia="맑은 고딕" w:hAnsi="맑은 고딕"/>
          <w:b/>
          <w:bCs/>
          <w:sz w:val="20"/>
          <w:szCs w:val="20"/>
        </w:rPr>
        <w:t xml:space="preserve">대상 고객. </w:t>
      </w:r>
      <w:r>
        <w:rPr>
          <w:rFonts w:ascii="맑은 고딕" w:cs="맑은 고딕" w:eastAsia="맑은 고딕" w:hAnsi="맑은 고딕"/>
          <w:sz w:val="20"/>
          <w:szCs w:val="20"/>
        </w:rPr>
        <w:t xml:space="preserve">1차 고객은 「기후위기 대응을 위한 탄소중립·녹색성장 기본법」 제40조에 따라 5년 주기 적응대책을 수립하고 매년 이행점검 결과를 제출하는 기초·광역 지자체(243곳)와 그 수립 용역을 수행하는 컨설팅사이다. 2차 고객은 같은 법 제41조에 따라 적응대책을 수립·점검하는 공공기관 62곳으로, 2026년 1월 개정 지침은 사업장별 영향 분석과 위험도 평가의 정량화, 외부 전문가 활용을 검토 항목으로 명시한다. 3차 고객은 기후대응기금·환경부 공모사업의 성과평가 주체와, 2027 회계연도부터 단계적으로 지속가능성 공시 의무가 적용되는 상장기업이다.</w:t>
      </w:r>
    </w:p>
    <w:p>
      <w:pPr>
        <w:spacing w:after="60" w:before="0" w:line="264"/>
        <w:jc w:val="both"/>
      </w:pPr>
      <w:r>
        <w:rPr>
          <w:rFonts w:ascii="맑은 고딕" w:cs="맑은 고딕" w:eastAsia="맑은 고딕" w:hAnsi="맑은 고딕"/>
          <w:b/>
          <w:bCs/>
          <w:sz w:val="20"/>
          <w:szCs w:val="20"/>
        </w:rPr>
        <w:t xml:space="preserve">활용 방안. </w:t>
      </w:r>
      <w:r>
        <w:rPr>
          <w:rFonts w:ascii="맑은 고딕" w:cs="맑은 고딕" w:eastAsia="맑은 고딕" w:hAnsi="맑은 고딕"/>
          <w:sz w:val="20"/>
          <w:szCs w:val="20"/>
        </w:rPr>
        <w:t xml:space="preserve">조직 내부에서는 효과가 검출되지 않은 사업의 재설계와 예산 재배분, 사업지 선정 기준 개선의 근거로 쓰인다. 조직 외부로는 이행점검 보고서·경영평가·지속가능성 공시의 첨부 자료가 되고, 시민에게는 '우리 지역 적응 예산이 어디에 쓰였고 효과가 있었는가'를 보여주는 공개 성과 카드가 된다. 학교 단위에서는 교육청 폭염·침수 대응 시설 투자의 효과 확인에 같은 프로토콜을 적용할 수 있다.</w:t>
      </w:r>
    </w:p>
    <w:p>
      <w:pPr>
        <w:pStyle w:val="Heading1"/>
        <w:spacing w:after="70" w:before="160"/>
      </w:pPr>
      <w:r>
        <w:rPr>
          <w:rFonts w:ascii="맑은 고딕" w:cs="맑은 고딕" w:eastAsia="맑은 고딕" w:hAnsi="맑은 고딕"/>
          <w:b/>
          <w:bCs/>
          <w:color w:val="F24F4F"/>
          <w:sz w:val="30"/>
          <w:szCs w:val="30"/>
        </w:rPr>
        <w:t xml:space="preserve">시장 분석</w:t>
      </w:r>
    </w:p>
    <w:p>
      <w:pPr>
        <w:pStyle w:val="Heading2"/>
        <w:spacing w:after="36" w:before="100"/>
      </w:pPr>
      <w:r>
        <w:rPr>
          <w:rFonts w:ascii="맑은 고딕" w:cs="맑은 고딕" w:eastAsia="맑은 고딕" w:hAnsi="맑은 고딕"/>
          <w:b/>
          <w:bCs/>
          <w:color w:val="002060"/>
          <w:sz w:val="22"/>
          <w:szCs w:val="22"/>
        </w:rPr>
        <w:t xml:space="preserve">2.1 기후환경 변화에 따른 문제점</w:t>
      </w:r>
    </w:p>
    <w:p>
      <w:pPr>
        <w:spacing w:after="60" w:before="0" w:line="264"/>
        <w:jc w:val="both"/>
      </w:pPr>
      <w:r>
        <w:rPr>
          <w:rFonts w:ascii="맑은 고딕" w:cs="맑은 고딕" w:eastAsia="맑은 고딕" w:hAnsi="맑은 고딕"/>
          <w:sz w:val="20"/>
          <w:szCs w:val="20"/>
        </w:rPr>
        <w:t xml:space="preserve">2025년 한 해 동안 한반도는 복합재해를 연속으로 겪었다. 3월 영남권 대형산불은 104,004 ha를 태웠고 복구비는 1조 8,809억 원(국비 64.5%)으로 확정되었다[1]. 7월 집중호우로 37명이 사망하고 1조 848억 원의 피해가 발생했으며[2], 여름철 온열질환자는 4,460명, 사망자는 29명으로 감시체계 도입 이후 최다를 기록했다[3]. 이에 대응하는 적응 재정도 빠르게 커졌다. 기후대응기금 적응 분야 1,654억 원(2025)[4], 여름철 재난안전특별교부세 폭염·가뭄 607.5억 원(2026)[5], 서울시 폭염 대책 집행 359.4억 원(2025)[6], 환경부 기후위기 취약계층·지역 지원사업 국비 100억 원(2025)[4], 서울시 쿨루프 지원 29억 원·330곳(2026)[7]이 그 예이다.</w:t>
      </w:r>
    </w:p>
    <w:p>
      <w:pPr>
        <w:spacing w:after="60" w:before="0" w:line="264"/>
        <w:jc w:val="both"/>
      </w:pPr>
      <w:r>
        <w:rPr>
          <w:rFonts w:ascii="맑은 고딕" w:cs="맑은 고딕" w:eastAsia="맑은 고딕" w:hAnsi="맑은 고딕"/>
          <w:sz w:val="20"/>
          <w:szCs w:val="20"/>
        </w:rPr>
        <w:t xml:space="preserve">그러나 이 예산은 모두 시설 설치·운영·복구라는 집행성 지출이며, 집행 결과가 기후 피해를 실제로 줄였는지를 측정하는 항목은 어느 예산 구조에서도 확인되지 않는다(그림 1a). 국회예산정책처는 2025년 7월 환경부 취약계층 지원사업에 대해 '취약계층 실태조사 근거가 없고 지자체 제안사업은 1건에 불과하다'고 지적했고[4], 2025년 국정감사에서는 영남 산불 피해 104,004 ha 중 당해 연도 복구 실적이 1 ha에 그친 사실이 드러났다[8]. 2026년 4월 확정된 산불 피해지 복원 기본계획은 전체의 15%만 계획복원하고 85%는 자연복원에 맡기는데[9], 자연복원이 실제로 진행되는지를 광역·주기적으로 관측하는 체계는 없다.</w:t>
      </w:r>
    </w:p>
    <w:p>
      <w:pPr>
        <w:spacing w:after="0" w:before="80"/>
        <w:jc w:val="center"/>
      </w:pPr>
      <w:r>
        <w:drawing>
          <wp:inline distT="0" distB="0" distL="0" distR="0">
            <wp:extent cx="4391025"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91025" cy="1685925"/>
                    </a:xfrm>
                    <a:prstGeom prst="rect">
                      <a:avLst/>
                    </a:prstGeom>
                  </pic:spPr>
                </pic:pic>
              </a:graphicData>
            </a:graphic>
          </wp:inline>
        </w:drawing>
      </w:r>
    </w:p>
    <w:p>
      <w:pPr>
        <w:spacing w:after="60" w:before="30"/>
        <w:jc w:val="center"/>
      </w:pPr>
      <w:r>
        <w:rPr>
          <w:rFonts w:ascii="맑은 고딕" w:cs="맑은 고딕" w:eastAsia="맑은 고딕" w:hAnsi="맑은 고딕"/>
          <w:color w:val="595959"/>
          <w:sz w:val="17"/>
          <w:szCs w:val="17"/>
        </w:rPr>
        <w:t xml:space="preserve">그림 1. (a) 기후적응 집행 예산 규모와 성과 검증 전용 예산의 부재, (b) 본 서비스의 3개년 매출 시나리오(단가·건수 가정은 5.3절에 명시)</w:t>
      </w:r>
    </w:p>
    <w:p>
      <w:pPr>
        <w:pStyle w:val="Heading2"/>
        <w:spacing w:after="36" w:before="100"/>
      </w:pPr>
      <w:r>
        <w:rPr>
          <w:rFonts w:ascii="맑은 고딕" w:cs="맑은 고딕" w:eastAsia="맑은 고딕" w:hAnsi="맑은 고딕"/>
          <w:b/>
          <w:bCs/>
          <w:color w:val="002060"/>
          <w:sz w:val="22"/>
          <w:szCs w:val="22"/>
        </w:rPr>
        <w:t xml:space="preserve">2.2 대상 시장 및 고객</w:t>
      </w:r>
    </w:p>
    <w:p>
      <w:pPr>
        <w:spacing w:after="60" w:before="0" w:line="264"/>
        <w:jc w:val="both"/>
      </w:pPr>
      <w:r>
        <w:rPr>
          <w:rFonts w:ascii="맑은 고딕" w:cs="맑은 고딕" w:eastAsia="맑은 고딕" w:hAnsi="맑은 고딕"/>
          <w:sz w:val="20"/>
          <w:szCs w:val="20"/>
        </w:rPr>
        <w:t xml:space="preserve">시장은 법률이 정한 보고 의무를 가진 주체로 정의한다. 지자체 적응대책은 5년 주기로 수립되고 매년 4월 30일까지 이행점검 결과보고서를 제출해야 하며(같은 법 시행령 제43조), 환경부 지침은 영향·취약성·위험 평가 결과를 읍면동 단위 공간자료로 제시하도록 요구한다[10]. 2025년 7월 기준 기초지자체 226곳 중 제3차 대책을 수립한 곳은 67곳(29.7%)으로, 2025~2027년에 약 150곳이 발주 주기에 들어간다[10]. 수립 용역의 공고 금액은 무주군 5,000만 원, 도봉구 5,500만 원, 정읍시 6,970만 원으로 확인된다[11]. 공공 SaaS 조달 경로인 디지털서비스 전문계약은 2025년 565건·1,536억 원(SaaS 216건·106억 원) 규모로 운영되었다[12]. 기업 측에서는 한국지속가능성기준위원회(KSSB) 기준에 따라 2027 회계연도부터 연결자산 10조 원 이상 코스피 상장사 291곳을 시작으로 공시가 단계 적용되며, IFRS S2 문단 29(c)는 물리적 위험에 취약한 자산의 금액과 비율 공시를 요구한다[13]. 2026년 8월 첫 공시 대상 99개사 분석에서 취약 자산의 금액·비율을 실제로 공시한 기업은 10곳(10.1%)에 그쳤다[14].</w:t>
      </w:r>
    </w:p>
    <w:p>
      <w:pPr>
        <w:spacing w:after="30" w:before="100"/>
        <w:jc w:val="left"/>
      </w:pPr>
      <w:r>
        <w:rPr>
          <w:rFonts w:ascii="맑은 고딕" w:cs="맑은 고딕" w:eastAsia="맑은 고딕" w:hAnsi="맑은 고딕"/>
          <w:b/>
          <w:bCs/>
          <w:color w:val="002060"/>
          <w:sz w:val="18"/>
          <w:szCs w:val="18"/>
        </w:rPr>
        <w:t xml:space="preserve">표 1. 고객군별 보고 의무·규모·지불 근거</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3"/>
        <w:gridCol w:w="2442"/>
        <w:gridCol w:w="1168"/>
        <w:gridCol w:w="2124"/>
        <w:gridCol w:w="1699"/>
      </w:tblGrid>
      <w:tr>
        <w:trPr>
          <w:tblHeader/>
        </w:trPr>
        <w:tc>
          <w:tcPr>
            <w:tcW w:type="dxa" w:w="1593"/>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고객군</w:t>
            </w:r>
          </w:p>
        </w:tc>
        <w:tc>
          <w:tcPr>
            <w:tcW w:type="dxa" w:w="2442"/>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법적 근거·주기</w:t>
            </w:r>
          </w:p>
        </w:tc>
        <w:tc>
          <w:tcPr>
            <w:tcW w:type="dxa" w:w="1168"/>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모수</w:t>
            </w:r>
          </w:p>
        </w:tc>
        <w:tc>
          <w:tcPr>
            <w:tcW w:type="dxa" w:w="2124"/>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지불 단가 근거(공고·통계)</w:t>
            </w:r>
          </w:p>
        </w:tc>
        <w:tc>
          <w:tcPr>
            <w:tcW w:type="dxa" w:w="1699"/>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판정</w:t>
            </w:r>
          </w:p>
        </w:tc>
      </w:tr>
      <w:tr>
        <w:tc>
          <w:tcPr>
            <w:tcW w:type="dxa" w:w="1593"/>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기초·광역 지자체</w:t>
            </w:r>
          </w:p>
        </w:tc>
        <w:tc>
          <w:tcPr>
            <w:tcW w:type="dxa" w:w="2442"/>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탄소중립기본법 §40, 시행령 §43: 5년 수립, 매년 4/30 이행점검</w:t>
            </w:r>
          </w:p>
        </w:tc>
        <w:tc>
          <w:tcPr>
            <w:tcW w:type="dxa" w:w="1168"/>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243곳(3차 미수립 약 150곳)</w:t>
            </w:r>
          </w:p>
        </w:tc>
        <w:tc>
          <w:tcPr>
            <w:tcW w:type="dxa" w:w="2124"/>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수립 용역 5,000~6,970만 원</w:t>
            </w:r>
          </w:p>
        </w:tc>
        <w:tc>
          <w:tcPr>
            <w:tcW w:type="dxa" w:w="1699"/>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1차 고객(즉시)</w:t>
            </w:r>
          </w:p>
        </w:tc>
      </w:tr>
      <w:tr>
        <w:tc>
          <w:tcPr>
            <w:tcW w:type="dxa" w:w="1593"/>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공공기관</w:t>
            </w:r>
          </w:p>
        </w:tc>
        <w:tc>
          <w:tcPr>
            <w:tcW w:type="dxa" w:w="2442"/>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§41, 시행령 §44, 2026-01-06 지침: 사업장별 정량화·외부전문가</w:t>
            </w:r>
          </w:p>
        </w:tc>
        <w:tc>
          <w:tcPr>
            <w:tcW w:type="dxa" w:w="1168"/>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62곳</w:t>
            </w:r>
          </w:p>
        </w:tc>
        <w:tc>
          <w:tcPr>
            <w:tcW w:type="dxa" w:w="2124"/>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적응대책 수립·점검 과업 일부</w:t>
            </w:r>
          </w:p>
        </w:tc>
        <w:tc>
          <w:tcPr>
            <w:tcW w:type="dxa" w:w="1699"/>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2차(2027~)</w:t>
            </w:r>
          </w:p>
        </w:tc>
      </w:tr>
      <w:tr>
        <w:tc>
          <w:tcPr>
            <w:tcW w:type="dxa" w:w="1593"/>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기금·공모사업 평가</w:t>
            </w:r>
          </w:p>
        </w:tc>
        <w:tc>
          <w:tcPr>
            <w:tcW w:type="dxa" w:w="2442"/>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기후대응기금 적응 1,654억(2025), 환경부 취약계층 지원 100억</w:t>
            </w:r>
          </w:p>
        </w:tc>
        <w:tc>
          <w:tcPr>
            <w:tcW w:type="dxa" w:w="1168"/>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연 수십 사업</w:t>
            </w:r>
          </w:p>
        </w:tc>
        <w:tc>
          <w:tcPr>
            <w:tcW w:type="dxa" w:w="2124"/>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성과평가 보고서 건당</w:t>
            </w:r>
          </w:p>
        </w:tc>
        <w:tc>
          <w:tcPr>
            <w:tcW w:type="dxa" w:w="1699"/>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조건부</w:t>
            </w:r>
          </w:p>
        </w:tc>
      </w:tr>
      <w:tr>
        <w:tc>
          <w:tcPr>
            <w:tcW w:type="dxa" w:w="1593"/>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적응대책 수행 컨설팅사</w:t>
            </w:r>
          </w:p>
        </w:tc>
        <w:tc>
          <w:tcPr>
            <w:tcW w:type="dxa" w:w="2442"/>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지자체 용역 수행사(B2B2G)</w:t>
            </w:r>
          </w:p>
        </w:tc>
        <w:tc>
          <w:tcPr>
            <w:tcW w:type="dxa" w:w="1168"/>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용역당 1사</w:t>
            </w:r>
          </w:p>
        </w:tc>
        <w:tc>
          <w:tcPr>
            <w:tcW w:type="dxa" w:w="2124"/>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하도급 1,000~1,500만 원</w:t>
            </w:r>
          </w:p>
        </w:tc>
        <w:tc>
          <w:tcPr>
            <w:tcW w:type="dxa" w:w="1699"/>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1차 고객(즉시)</w:t>
            </w:r>
          </w:p>
        </w:tc>
      </w:tr>
      <w:tr>
        <w:tc>
          <w:tcPr>
            <w:tcW w:type="dxa" w:w="1593"/>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상장기업</w:t>
            </w:r>
          </w:p>
        </w:tc>
        <w:tc>
          <w:tcPr>
            <w:tcW w:type="dxa" w:w="2442"/>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KSSB 1·2호, IFRS S2 문단 29(c)</w:t>
            </w:r>
          </w:p>
        </w:tc>
        <w:tc>
          <w:tcPr>
            <w:tcW w:type="dxa" w:w="1168"/>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FY27 291사 → FY29 3,171사</w:t>
            </w:r>
          </w:p>
        </w:tc>
        <w:tc>
          <w:tcPr>
            <w:tcW w:type="dxa" w:w="2124"/>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ESG 외부비용 평균 1.34억 원[15]</w:t>
            </w:r>
          </w:p>
        </w:tc>
        <w:tc>
          <w:tcPr>
            <w:tcW w:type="dxa" w:w="1699"/>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3차(2028~)</w:t>
            </w:r>
          </w:p>
        </w:tc>
      </w:tr>
    </w:tbl>
    <w:p>
      <w:pPr>
        <w:pStyle w:val="Heading2"/>
        <w:spacing w:after="36" w:before="100"/>
      </w:pPr>
      <w:r>
        <w:rPr>
          <w:rFonts w:ascii="맑은 고딕" w:cs="맑은 고딕" w:eastAsia="맑은 고딕" w:hAnsi="맑은 고딕"/>
          <w:b/>
          <w:bCs/>
          <w:color w:val="002060"/>
          <w:sz w:val="22"/>
          <w:szCs w:val="22"/>
        </w:rPr>
        <w:t xml:space="preserve">2.3 문제 정의</w:t>
      </w:r>
    </w:p>
    <w:p>
      <w:pPr>
        <w:spacing w:after="60" w:before="0" w:line="264"/>
        <w:jc w:val="both"/>
      </w:pPr>
      <w:r>
        <w:rPr>
          <w:rFonts w:ascii="맑은 고딕" w:cs="맑은 고딕" w:eastAsia="맑은 고딕" w:hAnsi="맑은 고딕"/>
          <w:sz w:val="20"/>
          <w:szCs w:val="20"/>
        </w:rPr>
        <w:t xml:space="preserve">고객이 직면한 문제는 네 가지로 정리된다. 첫째, 이행점검과 경영평가는 '무엇을 얼마나 설치했는가'만 묻고 '그래서 피해가 줄었는가'를 묻지 않으므로 담당 부서는 효과를 입증할 도구 없이 매년 같은 양식을 채운다. 둘째, 취약계층 지원 사업은 신청 순서로 집행되는 사례가 많아[11] 예산이 가장 취약한 세대에 도달했는지 확인할 수 없다. 셋째, 복구·복원 사업은 효과가 수년에 걸쳐 나타나므로 매년 추적이 필요하지만 현장조사는 비용과 인력 제약으로 반복되지 못한다. 넷째, 2027년 이후 공공기관과 기업은 정량 공시를 요구받지만 적응 조치의 결과를 숫자로 제시한 선례가 거의 없다. 기후변화로 재해 빈도와 적응 예산이 함께 늘어날수록 이 검증 공백은 확대되며, 공백을 메우지 못하면 적응 투자의 정당성 자체가 흔들린다.</w:t>
      </w:r>
    </w:p>
    <w:p>
      <w:pPr>
        <w:pStyle w:val="Heading2"/>
        <w:spacing w:after="36" w:before="100"/>
      </w:pPr>
      <w:r>
        <w:rPr>
          <w:rFonts w:ascii="맑은 고딕" w:cs="맑은 고딕" w:eastAsia="맑은 고딕" w:hAnsi="맑은 고딕"/>
          <w:b/>
          <w:bCs/>
          <w:color w:val="002060"/>
          <w:sz w:val="22"/>
          <w:szCs w:val="22"/>
        </w:rPr>
        <w:t xml:space="preserve">2.4 경쟁 분석</w:t>
      </w:r>
    </w:p>
    <w:p>
      <w:pPr>
        <w:spacing w:after="60" w:before="0" w:line="264"/>
        <w:jc w:val="both"/>
      </w:pPr>
      <w:r>
        <w:rPr>
          <w:rFonts w:ascii="맑은 고딕" w:cs="맑은 고딕" w:eastAsia="맑은 고딕" w:hAnsi="맑은 고딕"/>
          <w:sz w:val="20"/>
          <w:szCs w:val="20"/>
        </w:rPr>
        <w:t xml:space="preserve">국내외 기후 리스크 분석 시장은 '사전 위험 평가'에 집중되어 있다. 무료 공공 도구인 환경부 기후변화 취약성 평가도구(VESTAP), 기상청 기후변화 상황지도, 국토교통부 폭염 취약지역 분석자료, 경기기후플랫폼의 5 m 열환경 지도는 모두 격자 단위의 사전 취약성을 제공하고 개별 사업의 사후 효과는 다루지 않는다[16]. 상용 플랫폼(S&amp;P Climanomics, Jupiter Intelligence, Climate X, 케이웨더 CRMaaS)은 자산 단위 시나리오 위험을 제공하지만 역시 집행 사업의 검증 기능은 없으며, 공개된 가격은 Climate X의 연 20,000달러(250자산) 수준이다[17]. 2026년 10월 기준 조사에서 '집행된 적응 사업의 효과를 위성 관측으로 매년 사후 검증하는' 국내외 공개 서비스는 확인되지 않았다. 가장 현실적인 경쟁자는 공공 연구기관의 비정기 자체 분석(광주시 그늘막 입지 분석, 경기연구원 열환경 지도)이며, 이에 대해 본 서비스는 사업 단위 깊이, 매년 갱신, 사전 등록된 표준 프로토콜로 차별화한다.</w:t>
      </w:r>
    </w:p>
    <w:p>
      <w:pPr>
        <w:spacing w:after="30" w:before="100"/>
        <w:jc w:val="left"/>
      </w:pPr>
      <w:r>
        <w:rPr>
          <w:rFonts w:ascii="맑은 고딕" w:cs="맑은 고딕" w:eastAsia="맑은 고딕" w:hAnsi="맑은 고딕"/>
          <w:b/>
          <w:bCs/>
          <w:color w:val="002060"/>
          <w:sz w:val="18"/>
          <w:szCs w:val="18"/>
        </w:rPr>
        <w:t xml:space="preserve">표 2. 경쟁·대체재 비교(2026년 10월 조사 기준)</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9"/>
        <w:gridCol w:w="1744"/>
        <w:gridCol w:w="1026"/>
        <w:gridCol w:w="1026"/>
        <w:gridCol w:w="1231"/>
        <w:gridCol w:w="1231"/>
        <w:gridCol w:w="1231"/>
      </w:tblGrid>
      <w:tr>
        <w:trPr>
          <w:tblHeader/>
        </w:trPr>
        <w:tc>
          <w:tcPr>
            <w:tcW w:type="dxa" w:w="1539"/>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구분</w:t>
            </w:r>
          </w:p>
        </w:tc>
        <w:tc>
          <w:tcPr>
            <w:tcW w:type="dxa" w:w="1744"/>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대표 서비스</w:t>
            </w:r>
          </w:p>
        </w:tc>
        <w:tc>
          <w:tcPr>
            <w:tcW w:type="dxa" w:w="1026"/>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공간 단위</w:t>
            </w:r>
          </w:p>
        </w:tc>
        <w:tc>
          <w:tcPr>
            <w:tcW w:type="dxa" w:w="1026"/>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시점</w:t>
            </w:r>
          </w:p>
        </w:tc>
        <w:tc>
          <w:tcPr>
            <w:tcW w:type="dxa" w:w="1231"/>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갱신</w:t>
            </w:r>
          </w:p>
        </w:tc>
        <w:tc>
          <w:tcPr>
            <w:tcW w:type="dxa" w:w="1231"/>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사업 효과·형평성</w:t>
            </w:r>
          </w:p>
        </w:tc>
        <w:tc>
          <w:tcPr>
            <w:tcW w:type="dxa" w:w="1231"/>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비용</w:t>
            </w:r>
          </w:p>
        </w:tc>
      </w:tr>
      <w:tr>
        <w:tc>
          <w:tcPr>
            <w:tcW w:type="dxa" w:w="1539"/>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무료 공공 취약성 지도</w:t>
            </w:r>
          </w:p>
        </w:tc>
        <w:tc>
          <w:tcPr>
            <w:tcW w:type="dxa" w:w="1744"/>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VESTAP, 기후변화 상황지도, 국토부 SHP, 경기 5 m 열지도</w:t>
            </w:r>
          </w:p>
        </w:tc>
        <w:tc>
          <w:tcPr>
            <w:tcW w:type="dxa" w:w="1026"/>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격자·읍면동</w:t>
            </w:r>
          </w:p>
        </w:tc>
        <w:tc>
          <w:tcPr>
            <w:tcW w:type="dxa" w:w="1026"/>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사전</w:t>
            </w:r>
          </w:p>
        </w:tc>
        <w:tc>
          <w:tcPr>
            <w:tcW w:type="dxa" w:w="1231"/>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1회성·연</w:t>
            </w:r>
          </w:p>
        </w:tc>
        <w:tc>
          <w:tcPr>
            <w:tcW w:type="dxa" w:w="1231"/>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없음</w:t>
            </w:r>
          </w:p>
        </w:tc>
        <w:tc>
          <w:tcPr>
            <w:tcW w:type="dxa" w:w="1231"/>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무료</w:t>
            </w:r>
          </w:p>
        </w:tc>
      </w:tr>
      <w:tr>
        <w:tc>
          <w:tcPr>
            <w:tcW w:type="dxa" w:w="1539"/>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상용 리스크 플랫폼</w:t>
            </w:r>
          </w:p>
        </w:tc>
        <w:tc>
          <w:tcPr>
            <w:tcW w:type="dxa" w:w="1744"/>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S&amp;P Climanomics, Jupiter, Climate X, 케이웨더</w:t>
            </w:r>
          </w:p>
        </w:tc>
        <w:tc>
          <w:tcPr>
            <w:tcW w:type="dxa" w:w="1026"/>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자산</w:t>
            </w:r>
          </w:p>
        </w:tc>
        <w:tc>
          <w:tcPr>
            <w:tcW w:type="dxa" w:w="1026"/>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사전·시나리오</w:t>
            </w:r>
          </w:p>
        </w:tc>
        <w:tc>
          <w:tcPr>
            <w:tcW w:type="dxa" w:w="1231"/>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연</w:t>
            </w:r>
          </w:p>
        </w:tc>
        <w:tc>
          <w:tcPr>
            <w:tcW w:type="dxa" w:w="1231"/>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없음</w:t>
            </w:r>
          </w:p>
        </w:tc>
        <w:tc>
          <w:tcPr>
            <w:tcW w:type="dxa" w:w="1231"/>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연 2만 달러~비공개</w:t>
            </w:r>
          </w:p>
        </w:tc>
      </w:tr>
      <w:tr>
        <w:tc>
          <w:tcPr>
            <w:tcW w:type="dxa" w:w="1539"/>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컨설팅·연구용역</w:t>
            </w:r>
          </w:p>
        </w:tc>
        <w:tc>
          <w:tcPr>
            <w:tcW w:type="dxa" w:w="1744"/>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회계법인, 연구원 적응대책 용역</w:t>
            </w:r>
          </w:p>
        </w:tc>
        <w:tc>
          <w:tcPr>
            <w:tcW w:type="dxa" w:w="1026"/>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지자체</w:t>
            </w:r>
          </w:p>
        </w:tc>
        <w:tc>
          <w:tcPr>
            <w:tcW w:type="dxa" w:w="1026"/>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사전·정성</w:t>
            </w:r>
          </w:p>
        </w:tc>
        <w:tc>
          <w:tcPr>
            <w:tcW w:type="dxa" w:w="1231"/>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5년</w:t>
            </w:r>
          </w:p>
        </w:tc>
        <w:tc>
          <w:tcPr>
            <w:tcW w:type="dxa" w:w="1231"/>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정성 서술</w:t>
            </w:r>
          </w:p>
        </w:tc>
        <w:tc>
          <w:tcPr>
            <w:tcW w:type="dxa" w:w="1231"/>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5,000~7,000만 원</w:t>
            </w:r>
          </w:p>
        </w:tc>
      </w:tr>
      <w:tr>
        <w:tc>
          <w:tcPr>
            <w:tcW w:type="dxa" w:w="1539"/>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공공 연구기관 자체 분석</w:t>
            </w:r>
          </w:p>
        </w:tc>
        <w:tc>
          <w:tcPr>
            <w:tcW w:type="dxa" w:w="1744"/>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광주시, 경기연구원</w:t>
            </w:r>
          </w:p>
        </w:tc>
        <w:tc>
          <w:tcPr>
            <w:tcW w:type="dxa" w:w="1026"/>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격자</w:t>
            </w:r>
          </w:p>
        </w:tc>
        <w:tc>
          <w:tcPr>
            <w:tcW w:type="dxa" w:w="1026"/>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사전</w:t>
            </w:r>
          </w:p>
        </w:tc>
        <w:tc>
          <w:tcPr>
            <w:tcW w:type="dxa" w:w="1231"/>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비정기</w:t>
            </w:r>
          </w:p>
        </w:tc>
        <w:tc>
          <w:tcPr>
            <w:tcW w:type="dxa" w:w="1231"/>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없음</w:t>
            </w:r>
          </w:p>
        </w:tc>
        <w:tc>
          <w:tcPr>
            <w:tcW w:type="dxa" w:w="1231"/>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내부 예산</w:t>
            </w:r>
          </w:p>
        </w:tc>
      </w:tr>
      <w:tr>
        <w:tc>
          <w:tcPr>
            <w:tcW w:type="dxa" w:w="1539"/>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적응 영수증(본 제안)</w:t>
            </w:r>
          </w:p>
        </w:tc>
        <w:tc>
          <w:tcPr>
            <w:tcW w:type="dxa" w:w="1744"/>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사업 단위 사후 검증·형평성 감사</w:t>
            </w:r>
          </w:p>
        </w:tc>
        <w:tc>
          <w:tcPr>
            <w:tcW w:type="dxa" w:w="1026"/>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사업·건물·필지</w:t>
            </w:r>
          </w:p>
        </w:tc>
        <w:tc>
          <w:tcPr>
            <w:tcW w:type="dxa" w:w="1026"/>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사후</w:t>
            </w:r>
          </w:p>
        </w:tc>
        <w:tc>
          <w:tcPr>
            <w:tcW w:type="dxa" w:w="1231"/>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매년</w:t>
            </w:r>
          </w:p>
        </w:tc>
        <w:tc>
          <w:tcPr>
            <w:tcW w:type="dxa" w:w="1231"/>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효과크기·검정력·형평성</w:t>
            </w:r>
          </w:p>
        </w:tc>
        <w:tc>
          <w:tcPr>
            <w:tcW w:type="dxa" w:w="1231"/>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서브 1,000~1,500만 원 / 구독 2,000~4,000만 원</w:t>
            </w:r>
          </w:p>
        </w:tc>
      </w:tr>
    </w:tbl>
    <w:p>
      <w:pPr>
        <w:pStyle w:val="Heading1"/>
        <w:spacing w:after="70" w:before="160"/>
      </w:pPr>
      <w:r>
        <w:rPr>
          <w:rFonts w:ascii="맑은 고딕" w:cs="맑은 고딕" w:eastAsia="맑은 고딕" w:hAnsi="맑은 고딕"/>
          <w:b/>
          <w:bCs/>
          <w:color w:val="F24F4F"/>
          <w:sz w:val="30"/>
          <w:szCs w:val="30"/>
        </w:rPr>
        <w:t xml:space="preserve">서비스/제품 세부 내용</w:t>
      </w:r>
    </w:p>
    <w:p>
      <w:pPr>
        <w:pStyle w:val="Heading2"/>
        <w:spacing w:after="36" w:before="100"/>
      </w:pPr>
      <w:r>
        <w:rPr>
          <w:rFonts w:ascii="맑은 고딕" w:cs="맑은 고딕" w:eastAsia="맑은 고딕" w:hAnsi="맑은 고딕"/>
          <w:b/>
          <w:bCs/>
          <w:color w:val="002060"/>
          <w:sz w:val="22"/>
          <w:szCs w:val="22"/>
        </w:rPr>
        <w:t xml:space="preserve">3.1 서비스 설명</w:t>
      </w:r>
    </w:p>
    <w:p>
      <w:pPr>
        <w:spacing w:after="60" w:before="0" w:line="264"/>
        <w:jc w:val="both"/>
      </w:pPr>
      <w:r>
        <w:rPr>
          <w:rFonts w:ascii="맑은 고딕" w:cs="맑은 고딕" w:eastAsia="맑은 고딕" w:hAnsi="맑은 고딕"/>
          <w:sz w:val="20"/>
          <w:szCs w:val="20"/>
        </w:rPr>
        <w:t xml:space="preserve">서비스는 두 개의 분석 엔진과 하나의 보고 계층으로 구성된다(그림 2). 효과 검증 엔진(A)은 사업 유형별로 정의된 위성 지표를 사업 전후·처리구와 대조구에 대해 계산하고, 형평성 감사 엔진(B)은 수혜 건물·필지의 취약 속성 분포를 관할 전체와 비교한다. 보고 계층은 두 엔진의 결과를 사업별 성과 카드와 이행점검 보고서 부록으로 조립하며, 모든 수치에 관측(OBSERVED)·모형(MODEL)·규칙(RULE)·가정(ASSUMPTION)의 출처 배지를 붙이고 검출되지 않은 효과는 '미검출'로 명시한다. 설명 문장은 계산된 값만 인용하도록 제한된 언어모델 계층이 생성하고, 모델이 수치를 새로 만들지 못하도록 도구 호출 범위를 고정한다.</w:t>
      </w:r>
    </w:p>
    <w:p>
      <w:pPr>
        <w:spacing w:after="0" w:before="80"/>
        <w:jc w:val="center"/>
      </w:pPr>
      <w:r>
        <w:drawing>
          <wp:inline distT="0" distB="0" distL="0" distR="0">
            <wp:extent cx="42100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10050" cy="2352675"/>
                    </a:xfrm>
                    <a:prstGeom prst="rect">
                      <a:avLst/>
                    </a:prstGeom>
                  </pic:spPr>
                </pic:pic>
              </a:graphicData>
            </a:graphic>
          </wp:inline>
        </w:drawing>
      </w:r>
    </w:p>
    <w:p>
      <w:pPr>
        <w:spacing w:after="60" w:before="30"/>
        <w:jc w:val="center"/>
      </w:pPr>
      <w:r>
        <w:rPr>
          <w:rFonts w:ascii="맑은 고딕" w:cs="맑은 고딕" w:eastAsia="맑은 고딕" w:hAnsi="맑은 고딕"/>
          <w:color w:val="595959"/>
          <w:sz w:val="17"/>
          <w:szCs w:val="17"/>
        </w:rPr>
        <w:t xml:space="preserve">그림 2. 적응 영수증의 처리 흐름: 입력(사업 대장·위성 아카이브·수혜 속성) → 효과 검증·형평성 감사 → 준실험 설계 → 법정 보고 산출물</w:t>
      </w:r>
    </w:p>
    <w:p>
      <w:pPr>
        <w:spacing w:after="30" w:before="100"/>
        <w:jc w:val="left"/>
      </w:pPr>
      <w:r>
        <w:rPr>
          <w:rFonts w:ascii="맑은 고딕" w:cs="맑은 고딕" w:eastAsia="맑은 고딕" w:hAnsi="맑은 고딕"/>
          <w:b/>
          <w:bCs/>
          <w:color w:val="002060"/>
          <w:sz w:val="18"/>
          <w:szCs w:val="18"/>
        </w:rPr>
        <w:t xml:space="preserve">표 3. 사업 유형별 위성 지표와 검증 설계</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4"/>
        <w:gridCol w:w="1389"/>
        <w:gridCol w:w="2199"/>
        <w:gridCol w:w="2199"/>
        <w:gridCol w:w="1736"/>
      </w:tblGrid>
      <w:tr>
        <w:trPr>
          <w:tblHeader/>
        </w:trPr>
        <w:tc>
          <w:tcPr>
            <w:tcW w:type="dxa" w:w="1504"/>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사업 유형</w:t>
            </w:r>
          </w:p>
        </w:tc>
        <w:tc>
          <w:tcPr>
            <w:tcW w:type="dxa" w:w="1389"/>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위성 자료</w:t>
            </w:r>
          </w:p>
        </w:tc>
        <w:tc>
          <w:tcPr>
            <w:tcW w:type="dxa" w:w="2199"/>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지표</w:t>
            </w:r>
          </w:p>
        </w:tc>
        <w:tc>
          <w:tcPr>
            <w:tcW w:type="dxa" w:w="2199"/>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기준선·대조</w:t>
            </w:r>
          </w:p>
        </w:tc>
        <w:tc>
          <w:tcPr>
            <w:tcW w:type="dxa" w:w="1736"/>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검출 대상</w:t>
            </w:r>
          </w:p>
        </w:tc>
      </w:tr>
      <w:tr>
        <w:tc>
          <w:tcPr>
            <w:tcW w:type="dxa" w:w="1504"/>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산불 피해지 복구조림·자연복원</w:t>
            </w:r>
          </w:p>
        </w:tc>
        <w:tc>
          <w:tcPr>
            <w:tcW w:type="dxa" w:w="1389"/>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Sentinel-2 L2A (10~20 m, 5일)</w:t>
            </w:r>
          </w:p>
        </w:tc>
        <w:tc>
          <w:tcPr>
            <w:tcW w:type="dxa" w:w="2199"/>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dNBR 피해등급, 피해지/대조지 NDVI 비(회복률)</w:t>
            </w:r>
          </w:p>
        </w:tc>
        <w:tc>
          <w:tcPr>
            <w:tcW w:type="dxa" w:w="2199"/>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동일 상대궤도·생장기, 미피해 인접 산림</w:t>
            </w:r>
          </w:p>
        </w:tc>
        <w:tc>
          <w:tcPr>
            <w:tcW w:type="dxa" w:w="1736"/>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계획복원구와 자연복원구의 회복 속도 차</w:t>
            </w:r>
          </w:p>
        </w:tc>
      </w:tr>
      <w:tr>
        <w:tc>
          <w:tcPr>
            <w:tcW w:type="dxa" w:w="1504"/>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하천·배수 정비, 배수개선지구</w:t>
            </w:r>
          </w:p>
        </w:tc>
        <w:tc>
          <w:tcPr>
            <w:tcW w:type="dxa" w:w="1389"/>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Sentinel-1 GRD VV/VH (10 m, 6~12일)</w:t>
            </w:r>
          </w:p>
        </w:tc>
        <w:tc>
          <w:tcPr>
            <w:tcW w:type="dxa" w:w="2199"/>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호우 사건별 침수 범위(개방수면 감소·논 이중반사 증가의 양방향 z)</w:t>
            </w:r>
          </w:p>
        </w:tc>
        <w:tc>
          <w:tcPr>
            <w:tcW w:type="dxa" w:w="2199"/>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동일 궤도·DOY±15일 다년 median/MAD</w:t>
            </w:r>
          </w:p>
        </w:tc>
        <w:tc>
          <w:tcPr>
            <w:tcW w:type="dxa" w:w="1736"/>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정비 전후 사건 강도 보정 침수 면적 변화</w:t>
            </w:r>
          </w:p>
        </w:tc>
      </w:tr>
      <w:tr>
        <w:tc>
          <w:tcPr>
            <w:tcW w:type="dxa" w:w="1504"/>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수변생태벨트·매수토지 복원</w:t>
            </w:r>
          </w:p>
        </w:tc>
        <w:tc>
          <w:tcPr>
            <w:tcW w:type="dxa" w:w="1389"/>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Sentinel-2 NDVI·NDMI</w:t>
            </w:r>
          </w:p>
        </w:tc>
        <w:tc>
          <w:tcPr>
            <w:tcW w:type="dxa" w:w="2199"/>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계절 정합 robust z</w:t>
            </w:r>
          </w:p>
        </w:tc>
        <w:tc>
          <w:tcPr>
            <w:tcW w:type="dxa" w:w="2199"/>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과거 3년 동계절 기준선</w:t>
            </w:r>
          </w:p>
        </w:tc>
        <w:tc>
          <w:tcPr>
            <w:tcW w:type="dxa" w:w="1736"/>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식생 회복·재훼손</w:t>
            </w:r>
          </w:p>
        </w:tc>
      </w:tr>
      <w:tr>
        <w:tc>
          <w:tcPr>
            <w:tcW w:type="dxa" w:w="1504"/>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옥상 차열·녹화, 그늘 시설</w:t>
            </w:r>
          </w:p>
        </w:tc>
        <w:tc>
          <w:tcPr>
            <w:tcW w:type="dxa" w:w="1389"/>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Landsat 8/9 지표면온도 (30 m, 16일)</w:t>
            </w:r>
          </w:p>
        </w:tc>
        <w:tc>
          <w:tcPr>
            <w:tcW w:type="dxa" w:w="2199"/>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여름 합성 지표면온도 편차</w:t>
            </w:r>
          </w:p>
        </w:tc>
        <w:tc>
          <w:tcPr>
            <w:tcW w:type="dxa" w:w="2199"/>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시공 블록 대 인접 미시공 블록</w:t>
            </w:r>
          </w:p>
        </w:tc>
        <w:tc>
          <w:tcPr>
            <w:tcW w:type="dxa" w:w="1736"/>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블록 단위 온도 저감</w:t>
            </w:r>
          </w:p>
        </w:tc>
      </w:tr>
    </w:tbl>
    <w:p>
      <w:pPr>
        <w:pStyle w:val="Heading2"/>
        <w:spacing w:after="36" w:before="100"/>
      </w:pPr>
      <w:r>
        <w:rPr>
          <w:rFonts w:ascii="맑은 고딕" w:cs="맑은 고딕" w:eastAsia="맑은 고딕" w:hAnsi="맑은 고딕"/>
          <w:b/>
          <w:bCs/>
          <w:color w:val="002060"/>
          <w:sz w:val="22"/>
          <w:szCs w:val="22"/>
        </w:rPr>
        <w:t xml:space="preserve">3.2 핵심 가치 제안</w:t>
      </w:r>
    </w:p>
    <w:p>
      <w:pPr>
        <w:pStyle w:val="ListParagraph"/>
        <w:numPr>
          <w:ilvl w:val="0"/>
          <w:numId w:val="2"/>
        </w:numPr>
        <w:spacing w:after="40" w:line="276"/>
        <w:jc w:val="both"/>
      </w:pPr>
      <w:r>
        <w:rPr>
          <w:rFonts w:ascii="맑은 고딕" w:cs="맑은 고딕" w:eastAsia="맑은 고딕" w:hAnsi="맑은 고딕"/>
          <w:b/>
          <w:bCs/>
          <w:sz w:val="20"/>
          <w:szCs w:val="20"/>
        </w:rPr>
        <w:t xml:space="preserve">적응대책 담당 부서: </w:t>
      </w:r>
      <w:r>
        <w:rPr>
          <w:rFonts w:ascii="맑은 고딕" w:cs="맑은 고딕" w:eastAsia="맑은 고딕" w:hAnsi="맑은 고딕"/>
          <w:sz w:val="20"/>
          <w:szCs w:val="20"/>
        </w:rPr>
        <w:t xml:space="preserve">매년 4월 30일 제출하는 이행점검 보고서에 사업별 정량 성과와 한계를 첨부하고, 감사·의회 질의에 근거로 대응한다.</w:t>
      </w:r>
    </w:p>
    <w:p>
      <w:pPr>
        <w:pStyle w:val="ListParagraph"/>
        <w:numPr>
          <w:ilvl w:val="0"/>
          <w:numId w:val="2"/>
        </w:numPr>
        <w:spacing w:after="40" w:line="276"/>
        <w:jc w:val="both"/>
      </w:pPr>
      <w:r>
        <w:rPr>
          <w:rFonts w:ascii="맑은 고딕" w:cs="맑은 고딕" w:eastAsia="맑은 고딕" w:hAnsi="맑은 고딕"/>
          <w:b/>
          <w:bCs/>
          <w:sz w:val="20"/>
          <w:szCs w:val="20"/>
        </w:rPr>
        <w:t xml:space="preserve">예산·기획 부서: </w:t>
      </w:r>
      <w:r>
        <w:rPr>
          <w:rFonts w:ascii="맑은 고딕" w:cs="맑은 고딕" w:eastAsia="맑은 고딕" w:hAnsi="맑은 고딕"/>
          <w:sz w:val="20"/>
          <w:szCs w:val="20"/>
        </w:rPr>
        <w:t xml:space="preserve">효과가 검출되지 않은 사업과 검출된 사업을 구분해 차년도 예산을 재배분하고, 선정 기준을 형평성 지표로 보완한다.</w:t>
      </w:r>
    </w:p>
    <w:p>
      <w:pPr>
        <w:pStyle w:val="ListParagraph"/>
        <w:numPr>
          <w:ilvl w:val="0"/>
          <w:numId w:val="2"/>
        </w:numPr>
        <w:spacing w:after="40" w:line="276"/>
        <w:jc w:val="both"/>
      </w:pPr>
      <w:r>
        <w:rPr>
          <w:rFonts w:ascii="맑은 고딕" w:cs="맑은 고딕" w:eastAsia="맑은 고딕" w:hAnsi="맑은 고딕"/>
          <w:b/>
          <w:bCs/>
          <w:sz w:val="20"/>
          <w:szCs w:val="20"/>
        </w:rPr>
        <w:t xml:space="preserve">시민·취약계층: </w:t>
      </w:r>
      <w:r>
        <w:rPr>
          <w:rFonts w:ascii="맑은 고딕" w:cs="맑은 고딕" w:eastAsia="맑은 고딕" w:hAnsi="맑은 고딕"/>
          <w:sz w:val="20"/>
          <w:szCs w:val="20"/>
        </w:rPr>
        <w:t xml:space="preserve">적응 예산이 노후주택·고령 1인가구 밀집 지역에 실제로 도달했는지를 공개 성과 카드로 확인한다.</w:t>
      </w:r>
    </w:p>
    <w:p>
      <w:pPr>
        <w:pStyle w:val="ListParagraph"/>
        <w:numPr>
          <w:ilvl w:val="0"/>
          <w:numId w:val="2"/>
        </w:numPr>
        <w:spacing w:after="40" w:line="276"/>
        <w:jc w:val="both"/>
      </w:pPr>
      <w:r>
        <w:rPr>
          <w:rFonts w:ascii="맑은 고딕" w:cs="맑은 고딕" w:eastAsia="맑은 고딕" w:hAnsi="맑은 고딕"/>
          <w:b/>
          <w:bCs/>
          <w:sz w:val="20"/>
          <w:szCs w:val="20"/>
        </w:rPr>
        <w:t xml:space="preserve">공공기관·기업: </w:t>
      </w:r>
      <w:r>
        <w:rPr>
          <w:rFonts w:ascii="맑은 고딕" w:cs="맑은 고딕" w:eastAsia="맑은 고딕" w:hAnsi="맑은 고딕"/>
          <w:sz w:val="20"/>
          <w:szCs w:val="20"/>
        </w:rPr>
        <w:t xml:space="preserve">2026년 지침과 2027년 이후 공시가 요구하는 사업장별 정량 성과를 외부 검증 형식으로 확보한다.</w:t>
      </w:r>
    </w:p>
    <w:p>
      <w:pPr>
        <w:pStyle w:val="Heading2"/>
        <w:spacing w:after="36" w:before="100"/>
      </w:pPr>
      <w:r>
        <w:rPr>
          <w:rFonts w:ascii="맑은 고딕" w:cs="맑은 고딕" w:eastAsia="맑은 고딕" w:hAnsi="맑은 고딕"/>
          <w:b/>
          <w:bCs/>
          <w:color w:val="002060"/>
          <w:sz w:val="22"/>
          <w:szCs w:val="22"/>
        </w:rPr>
        <w:t xml:space="preserve">3.3 구현 방식 및 단계</w:t>
      </w:r>
    </w:p>
    <w:p>
      <w:pPr>
        <w:spacing w:after="60" w:before="0" w:line="264"/>
        <w:jc w:val="both"/>
      </w:pPr>
      <w:r>
        <w:rPr>
          <w:rFonts w:ascii="맑은 고딕" w:cs="맑은 고딕" w:eastAsia="맑은 고딕" w:hAnsi="맑은 고딕"/>
          <w:sz w:val="20"/>
          <w:szCs w:val="20"/>
        </w:rPr>
        <w:t xml:space="preserve">구현은 이미 운영 경험이 있는 구성요소의 재조립에서 출발한다. 팀은 Sentinel-2 dNBR 기반 산불 피해지 추출(2021~2025년 1,734건), Sentinel-1 필지 단위 침수 판독(충남 1,434,057필지, 호우 77건 아카이브), 계절 정합 robust z 변화탐지(수변 60필지 실증), Landsat 지표면온도의 행정동 집계(서울 426개 동), 건물 footprint와 건축물대장 조인(51,040동), 출처 배지와 폴백 규약을 갖춘 응답 봉투를 각각 선행 과제에서 구현·배포한 바 있다. 본 서비스는 이들을 '사업 전후·처리구 대 대조구'라는 하나의 설계 아래 묶는다.</w:t>
      </w:r>
    </w:p>
    <w:p>
      <w:pPr>
        <w:spacing w:after="30" w:before="100"/>
        <w:jc w:val="left"/>
      </w:pPr>
      <w:r>
        <w:rPr>
          <w:rFonts w:ascii="맑은 고딕" w:cs="맑은 고딕" w:eastAsia="맑은 고딕" w:hAnsi="맑은 고딕"/>
          <w:b/>
          <w:bCs/>
          <w:color w:val="002060"/>
          <w:sz w:val="18"/>
          <w:szCs w:val="18"/>
        </w:rPr>
        <w:t xml:space="preserve">표 4. 단계별 구현 계획</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13"/>
        <w:gridCol w:w="1360"/>
        <w:gridCol w:w="4080"/>
        <w:gridCol w:w="2473"/>
      </w:tblGrid>
      <w:tr>
        <w:trPr>
          <w:tblHeader/>
        </w:trPr>
        <w:tc>
          <w:tcPr>
            <w:tcW w:type="dxa" w:w="1113"/>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단계</w:t>
            </w:r>
          </w:p>
        </w:tc>
        <w:tc>
          <w:tcPr>
            <w:tcW w:type="dxa" w:w="1360"/>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기간</w:t>
            </w:r>
          </w:p>
        </w:tc>
        <w:tc>
          <w:tcPr>
            <w:tcW w:type="dxa" w:w="4080"/>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내용</w:t>
            </w:r>
          </w:p>
        </w:tc>
        <w:tc>
          <w:tcPr>
            <w:tcW w:type="dxa" w:w="2473"/>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산출물</w:t>
            </w:r>
          </w:p>
        </w:tc>
      </w:tr>
      <w:tr>
        <w:tc>
          <w:tcPr>
            <w:tcW w:type="dxa" w:w="1113"/>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0. 파일럿 검증</w:t>
            </w:r>
          </w:p>
        </w:tc>
        <w:tc>
          <w:tcPr>
            <w:tcW w:type="dxa" w:w="1360"/>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2026.11~12</w:t>
            </w:r>
          </w:p>
        </w:tc>
        <w:tc>
          <w:tcPr>
            <w:tcW w:type="dxa" w:w="4080"/>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공개 자료만으로 3개 사례 검증: 2025 영남 산불 복원지(그림 3), 서울 가양8단지 쿨루프 시공동(801·804) 대 미시공동(803), 충남 2023·2025 호우의 정비지구 전후 침수 범위</w:t>
            </w:r>
          </w:p>
        </w:tc>
        <w:tc>
          <w:tcPr>
            <w:tcW w:type="dxa" w:w="2473"/>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성과 카드 3종, 표준 프로토콜 v1</w:t>
            </w:r>
          </w:p>
        </w:tc>
      </w:tr>
      <w:tr>
        <w:tc>
          <w:tcPr>
            <w:tcW w:type="dxa" w:w="1113"/>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1. 이행점검 파일럿</w:t>
            </w:r>
          </w:p>
        </w:tc>
        <w:tc>
          <w:tcPr>
            <w:tcW w:type="dxa" w:w="1360"/>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2027.1~4</w:t>
            </w:r>
          </w:p>
        </w:tc>
        <w:tc>
          <w:tcPr>
            <w:tcW w:type="dxa" w:w="4080"/>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기초지자체 1곳과 협약, 전년 적응사업 대장 수집, 이행점검 보고서 부록 무상 납품 → 당해 용역 서브 전환</w:t>
            </w:r>
          </w:p>
        </w:tc>
        <w:tc>
          <w:tcPr>
            <w:tcW w:type="dxa" w:w="2473"/>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이행점검 부록 1건, 레퍼런스</w:t>
            </w:r>
          </w:p>
        </w:tc>
      </w:tr>
      <w:tr>
        <w:tc>
          <w:tcPr>
            <w:tcW w:type="dxa" w:w="1113"/>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2. 패키지화</w:t>
            </w:r>
          </w:p>
        </w:tc>
        <w:tc>
          <w:tcPr>
            <w:tcW w:type="dxa" w:w="1360"/>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2027.5~2028.4</w:t>
            </w:r>
          </w:p>
        </w:tc>
        <w:tc>
          <w:tcPr>
            <w:tcW w:type="dxa" w:w="4080"/>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사업 유형 라이브러리 확장(한파·가뭄·해안), 공공기관 62곳 대상 영업, 디지털서비스 전문계약 요건(CSAP) 준비</w:t>
            </w:r>
          </w:p>
        </w:tc>
        <w:tc>
          <w:tcPr>
            <w:tcW w:type="dxa" w:w="2473"/>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연간 구독 패키지, 공공기관 과업 템플릿</w:t>
            </w:r>
          </w:p>
        </w:tc>
      </w:tr>
      <w:tr>
        <w:tc>
          <w:tcPr>
            <w:tcW w:type="dxa" w:w="1113"/>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3. 플랫폼화</w:t>
            </w:r>
          </w:p>
        </w:tc>
        <w:tc>
          <w:tcPr>
            <w:tcW w:type="dxa" w:w="1360"/>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2028.5~</w:t>
            </w:r>
          </w:p>
        </w:tc>
        <w:tc>
          <w:tcPr>
            <w:tcW w:type="dxa" w:w="4080"/>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SaaS 전환, 기업 공시 적응 조치 성과 모듈, 시민 공개 지도</w:t>
            </w:r>
          </w:p>
        </w:tc>
        <w:tc>
          <w:tcPr>
            <w:tcW w:type="dxa" w:w="2473"/>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SaaS, 공시 첨부 모듈</w:t>
            </w:r>
          </w:p>
        </w:tc>
      </w:tr>
    </w:tbl>
    <w:p>
      <w:pPr>
        <w:pStyle w:val="Heading1"/>
        <w:spacing w:after="70" w:before="160"/>
      </w:pPr>
      <w:r>
        <w:rPr>
          <w:rFonts w:ascii="맑은 고딕" w:cs="맑은 고딕" w:eastAsia="맑은 고딕" w:hAnsi="맑은 고딕"/>
          <w:b/>
          <w:bCs/>
          <w:color w:val="F24F4F"/>
          <w:sz w:val="30"/>
          <w:szCs w:val="30"/>
        </w:rPr>
        <w:t xml:space="preserve">데이터 활용 전략</w:t>
      </w:r>
    </w:p>
    <w:p>
      <w:pPr>
        <w:pStyle w:val="Heading2"/>
        <w:spacing w:after="36" w:before="100"/>
      </w:pPr>
      <w:r>
        <w:rPr>
          <w:rFonts w:ascii="맑은 고딕" w:cs="맑은 고딕" w:eastAsia="맑은 고딕" w:hAnsi="맑은 고딕"/>
          <w:b/>
          <w:bCs/>
          <w:color w:val="002060"/>
          <w:sz w:val="22"/>
          <w:szCs w:val="22"/>
        </w:rPr>
        <w:t xml:space="preserve">4.1 데이터 분석 방법</w:t>
      </w:r>
    </w:p>
    <w:p>
      <w:pPr>
        <w:spacing w:after="60" w:before="0" w:line="264"/>
        <w:jc w:val="both"/>
      </w:pPr>
      <w:r>
        <w:rPr>
          <w:rFonts w:ascii="맑은 고딕" w:cs="맑은 고딕" w:eastAsia="맑은 고딕" w:hAnsi="맑은 고딕"/>
          <w:sz w:val="20"/>
          <w:szCs w:val="20"/>
        </w:rPr>
        <w:t xml:space="preserve">분석 단위는 '사업'이다. 사람을 평가하지 않고 사업을 평가하므로 기관 간 개인정보 결합이 필요 없고, 결과가 개인에게 불리한 가격·선별에 쓰일 여지가 없다. 각 사업을 처리구(사업 시행 구역)와 대조구(지형·토지피복·재해 노출이 유사한 인접 미시행 구역)로 구성하고, 사업 전후 위성 지표의 변화를 두 구역 간에 비교하는 이중차분(difference-in-differences) 설계를 기본으로 한다. 기준선은 동일 상대궤도·동일 계절(연중일 ±15일)의 과거 3~5년 관측에서 중앙값으로, 변동 폭은 중앙값절대편차(MAD)로 추정하여 robust z를 산출한다. 이 방식은 두 시점 단순 비교에서 계절 변동이 이상으로 오인되는 문제를 제거하며, 선행 실증에서 상위 10위 오탐을 6건에서 0건으로 줄인 바 있다. 처리구·대조구·지표·임계값은 결과를 보기 전에 문서로 고정하여 사후 가설 설정을 차단하고, 화소 수와 MAD로 검출 가능 최소효과를 사전에 계산해 검정력이 부족한 사업은 '검출 불가'로 보고한다. 다수 사업을 동시에 평가할 때는 거짓발견율(FDR)을 통제한다.</w:t>
      </w:r>
    </w:p>
    <w:p>
      <w:pPr>
        <w:spacing w:after="60" w:before="0" w:line="264"/>
        <w:jc w:val="both"/>
      </w:pPr>
      <w:r>
        <w:rPr>
          <w:rFonts w:ascii="맑은 고딕" w:cs="맑은 고딕" w:eastAsia="맑은 고딕" w:hAnsi="맑은 고딕"/>
          <w:sz w:val="20"/>
          <w:szCs w:val="20"/>
        </w:rPr>
        <w:t xml:space="preserve">품질 게이트는 다음과 같다. 장면별 유효 화소 60% 이상, 처리 수준(L2A·Collection 2 Level-2)과 처리 기준선(processing baseline) 기록, Sentinel-2 SCL 및 Landsat QA 기반 구름·그림자 마스킹, 동일 센서·동일 궤도 원칙, SAR는 선형 단위가 아닌 dB에서 통계 처리. 이 조건을 충족하지 못한 사업은 지표를 산출하지 않고 사유를 기록한다.</w:t>
      </w:r>
    </w:p>
    <w:p>
      <w:pPr>
        <w:spacing w:after="60" w:before="0" w:line="264"/>
        <w:jc w:val="both"/>
      </w:pPr>
      <w:r>
        <w:rPr>
          <w:rFonts w:ascii="맑은 고딕" w:cs="맑은 고딕" w:eastAsia="맑은 고딕" w:hAnsi="맑은 고딕"/>
          <w:b/>
          <w:bCs/>
          <w:sz w:val="20"/>
          <w:szCs w:val="20"/>
        </w:rPr>
        <w:t xml:space="preserve">실증 사례. </w:t>
      </w:r>
      <w:r>
        <w:rPr>
          <w:rFonts w:ascii="맑은 고딕" w:cs="맑은 고딕" w:eastAsia="맑은 고딕" w:hAnsi="맑은 고딕"/>
          <w:sz w:val="20"/>
          <w:szCs w:val="20"/>
        </w:rPr>
        <w:t xml:space="preserve">그림 3은 공개 자료만으로 산불 복구 모듈을 실행한 결과이다. Sentinel-2 상대궤도 R103의 5개 장면(2025-03-14~2026-10-02)을 같은 조건으로 재표집하고, 발화 전후 NBR 차이가 0.27을 넘는 산림 24,904 ha를 피해지로, 변화가 없는 인접 산림을 대조지로 정의했다. 피해지 NDVI 중앙값은 진화 직후 대조지의 0.37배로 떨어진 뒤 첫 생장기 0.44배, 이듬해 생장기 0.79배, 2년차 말 0.79배로 회복했다. 피해등급별 면적은 경 21,236 ha, 중 8,974 ha, 중강 5,744 ha, 강 10,727 ha로 산출되었다. 이 분석에 산림청의 계획복원 구역 자료를 결합하면 계획복원구와 자연복원구의 회복 속도를 같은 그림 위에서 비교할 수 있으며, 그것이 2026년 복원 기본계획이 전제한 '85% 자연복원'의 타당성을 검증하는 첫 보고서가 된다. 현재 결과는 복원 사업 위치 자료를 확보하기 전의 예비 분석이고, 피해지 사분위 범위가 넓은 것은 피해등급과 사면 조건에 따른 회복 차이를 반영한다.</w:t>
      </w:r>
    </w:p>
    <w:p>
      <w:pPr>
        <w:spacing w:after="0" w:before="80"/>
        <w:jc w:val="center"/>
      </w:pPr>
      <w:r>
        <w:drawing>
          <wp:inline distT="0" distB="0" distL="0" distR="0">
            <wp:extent cx="42100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2809875"/>
                    </a:xfrm>
                    <a:prstGeom prst="rect">
                      <a:avLst/>
                    </a:prstGeom>
                  </pic:spPr>
                </pic:pic>
              </a:graphicData>
            </a:graphic>
          </wp:inline>
        </w:drawing>
      </w:r>
    </w:p>
    <w:p>
      <w:pPr>
        <w:spacing w:after="60" w:before="30"/>
        <w:jc w:val="center"/>
      </w:pPr>
      <w:r>
        <w:rPr>
          <w:rFonts w:ascii="맑은 고딕" w:cs="맑은 고딕" w:eastAsia="맑은 고딕" w:hAnsi="맑은 고딕"/>
          <w:color w:val="595959"/>
          <w:sz w:val="17"/>
          <w:szCs w:val="17"/>
        </w:rPr>
        <w:t xml:space="preserve">그림 3. 2025년 영남 산불 피해지의 위성 기반 회복 추적(의성·안동 일대, 경도 128.45~128.95°E, 위도 36.26~36.55°N). (a)(b) 산불 전후 진색 합성, (c) dNBR 피해등급, (d) 피해지와 대조지의 NDVI 중앙값과 회복률</w:t>
      </w:r>
    </w:p>
    <w:p>
      <w:pPr>
        <w:spacing w:after="60" w:before="0" w:line="264"/>
        <w:jc w:val="both"/>
      </w:pPr>
      <w:r>
        <w:rPr>
          <w:rFonts w:ascii="맑은 고딕" w:cs="맑은 고딕" w:eastAsia="맑은 고딕" w:hAnsi="맑은 고딕"/>
          <w:b/>
          <w:bCs/>
          <w:sz w:val="20"/>
          <w:szCs w:val="20"/>
        </w:rPr>
        <w:t xml:space="preserve">검정력 사전 설계. </w:t>
      </w:r>
      <w:r>
        <w:rPr>
          <w:rFonts w:ascii="맑은 고딕" w:cs="맑은 고딕" w:eastAsia="맑은 고딕" w:hAnsi="맑은 고딕"/>
          <w:sz w:val="20"/>
          <w:szCs w:val="20"/>
        </w:rPr>
        <w:t xml:space="preserve">미검출 결과도 다음 설계의 근거가 되도록 사업 규모별 검출가능최소효과(MDE)를 사전 제시한다. 그림 4는 서울 가양8단지 쿨루프 시공동(801·804동, 0.72 ha)과 미시공동의 2024·2026년 여름 Landsat 지표면온도 실측 곡선이다. 대조 분산 σ = 1.18℃에서 이 규모의 MDE는 1.65℃로 관측된 이중차분 +0.03℃는 미검출이며, 1℃ 효과 검출에는 1.95 ha, 0.5℃에는 7.8 ha를 한 처리구로 묶어야 한다. 쿨루프는 동이 아니라 블록 단위로 발주되어야 검증 가능하다는 사전 기준이다.</w:t>
      </w:r>
    </w:p>
    <w:p>
      <w:pPr>
        <w:spacing w:after="0" w:before="80"/>
        <w:jc w:val="center"/>
      </w:pPr>
      <w:r>
        <w:drawing>
          <wp:inline distT="0" distB="0" distL="0" distR="0">
            <wp:extent cx="310515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05150" cy="1609725"/>
                    </a:xfrm>
                    <a:prstGeom prst="rect">
                      <a:avLst/>
                    </a:prstGeom>
                  </pic:spPr>
                </pic:pic>
              </a:graphicData>
            </a:graphic>
          </wp:inline>
        </w:drawing>
      </w:r>
    </w:p>
    <w:p>
      <w:pPr>
        <w:spacing w:after="60" w:before="30"/>
        <w:jc w:val="center"/>
      </w:pPr>
      <w:r>
        <w:rPr>
          <w:rFonts w:ascii="맑은 고딕" w:cs="맑은 고딕" w:eastAsia="맑은 고딕" w:hAnsi="맑은 고딕"/>
          <w:color w:val="595959"/>
          <w:sz w:val="17"/>
          <w:szCs w:val="17"/>
        </w:rPr>
        <w:t xml:space="preserve">그림 4. 처리 면적에 따른 검출가능최소효과(MDE). 가양8단지 대조동 지표면온도 분산 실측값, 80% 검정력, α = 0.05, 독립 화소 가정</w:t>
      </w:r>
    </w:p>
    <w:p>
      <w:pPr>
        <w:spacing w:after="60" w:before="0" w:line="264"/>
        <w:jc w:val="both"/>
      </w:pPr>
      <w:r>
        <w:rPr>
          <w:rFonts w:ascii="맑은 고딕" w:cs="맑은 고딕" w:eastAsia="맑은 고딕" w:hAnsi="맑은 고딕"/>
          <w:sz w:val="20"/>
          <w:szCs w:val="20"/>
        </w:rPr>
        <w:t xml:space="preserve">형평성 감사는 수혜 건물·필지의 좌표를 건축물대장 표제부(사용승인연도·구조·주용도·세대수·건축면적)와 통계청 SGIS 통계(노년부양비·노령화지수·가구)에 결합한 뒤, 수혜 집단의 노후건물 비율과 고령 비율을 관할 전체 분포와 비교한다. 여기에 같은 대지의 미시공 동을 후보군으로 '지붕 100 m²당 세대수' 내림차순이라는 공개 규칙으로 다음 집행 순위를 제시하는 재배분 시뮬레이션을 붙인다. 가양8단지에서는 미시공 809동(240세대, 11.4세대/100 m²)·807동이 1·2순위, 실제 시공된 801·804동은 9개 동 중 6·8순위였다. 가중치 합성 점수 대신 두 열을 그대로 공개하며, 개인 단위 식별은 수행하지 않는다.</w:t>
      </w:r>
    </w:p>
    <w:p>
      <w:pPr>
        <w:pStyle w:val="Heading2"/>
        <w:spacing w:after="36" w:before="100"/>
      </w:pPr>
      <w:r>
        <w:rPr>
          <w:rFonts w:ascii="맑은 고딕" w:cs="맑은 고딕" w:eastAsia="맑은 고딕" w:hAnsi="맑은 고딕"/>
          <w:b/>
          <w:bCs/>
          <w:color w:val="002060"/>
          <w:sz w:val="22"/>
          <w:szCs w:val="22"/>
        </w:rPr>
        <w:t xml:space="preserve">4.2 데이터 출처</w:t>
      </w:r>
    </w:p>
    <w:p>
      <w:pPr>
        <w:spacing w:after="30" w:before="100"/>
        <w:jc w:val="left"/>
      </w:pPr>
      <w:r>
        <w:rPr>
          <w:rFonts w:ascii="맑은 고딕" w:cs="맑은 고딕" w:eastAsia="맑은 고딕" w:hAnsi="맑은 고딕"/>
          <w:b/>
          <w:bCs/>
          <w:color w:val="002060"/>
          <w:sz w:val="18"/>
          <w:szCs w:val="18"/>
        </w:rPr>
        <w:t xml:space="preserve">표 5. 사용 데이터와 출처(전부 무료·공개)</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2034"/>
        <w:gridCol w:w="1907"/>
        <w:gridCol w:w="2924"/>
      </w:tblGrid>
      <w:tr>
        <w:trPr>
          <w:tblHeader/>
        </w:trPr>
        <w:tc>
          <w:tcPr>
            <w:tcW w:type="dxa" w:w="2161"/>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자료</w:t>
            </w:r>
          </w:p>
        </w:tc>
        <w:tc>
          <w:tcPr>
            <w:tcW w:type="dxa" w:w="2034"/>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제공처</w:t>
            </w:r>
          </w:p>
        </w:tc>
        <w:tc>
          <w:tcPr>
            <w:tcW w:type="dxa" w:w="1907"/>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해상도·주기</w:t>
            </w:r>
          </w:p>
        </w:tc>
        <w:tc>
          <w:tcPr>
            <w:tcW w:type="dxa" w:w="2924"/>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용도</w:t>
            </w:r>
          </w:p>
        </w:tc>
      </w:tr>
      <w:tr>
        <w:tc>
          <w:tcPr>
            <w:tcW w:type="dxa" w:w="2161"/>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Sentinel-2 L2A, Sentinel-1 GRD</w:t>
            </w:r>
          </w:p>
        </w:tc>
        <w:tc>
          <w:tcPr>
            <w:tcW w:type="dxa" w:w="2034"/>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Copernicus(ESA), Microsoft Planetary Computer STAC</w:t>
            </w:r>
          </w:p>
        </w:tc>
        <w:tc>
          <w:tcPr>
            <w:tcW w:type="dxa" w:w="1907"/>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10~20 m, 5일 / 10 m, 6~12일</w:t>
            </w:r>
          </w:p>
        </w:tc>
        <w:tc>
          <w:tcPr>
            <w:tcW w:type="dxa" w:w="2924"/>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NDVI·NBR·NDMI, SAR 침수 범위</w:t>
            </w:r>
          </w:p>
        </w:tc>
      </w:tr>
      <w:tr>
        <w:tc>
          <w:tcPr>
            <w:tcW w:type="dxa" w:w="2161"/>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Landsat 8/9 Collection 2 Level-2</w:t>
            </w:r>
          </w:p>
        </w:tc>
        <w:tc>
          <w:tcPr>
            <w:tcW w:type="dxa" w:w="2034"/>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USGS, Planetary Computer</w:t>
            </w:r>
          </w:p>
        </w:tc>
        <w:tc>
          <w:tcPr>
            <w:tcW w:type="dxa" w:w="1907"/>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30 m(열적외 100 m 재표집), 16일</w:t>
            </w:r>
          </w:p>
        </w:tc>
        <w:tc>
          <w:tcPr>
            <w:tcW w:type="dxa" w:w="2924"/>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여름 지표면온도 합성</w:t>
            </w:r>
          </w:p>
        </w:tc>
      </w:tr>
      <w:tr>
        <w:tc>
          <w:tcPr>
            <w:tcW w:type="dxa" w:w="2161"/>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재난 피해·복구 현황, 무더위쉼터 현황</w:t>
            </w:r>
          </w:p>
        </w:tc>
        <w:tc>
          <w:tcPr>
            <w:tcW w:type="dxa" w:w="2034"/>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재난안전데이터 공유플랫폼(행정안전부)</w:t>
            </w:r>
          </w:p>
        </w:tc>
        <w:tc>
          <w:tcPr>
            <w:tcW w:type="dxa" w:w="1907"/>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사건·시설 단위, 연</w:t>
            </w:r>
          </w:p>
        </w:tc>
        <w:tc>
          <w:tcPr>
            <w:tcW w:type="dxa" w:w="2924"/>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사업 대장 보강, 대조구 설계</w:t>
            </w:r>
          </w:p>
        </w:tc>
      </w:tr>
      <w:tr>
        <w:tc>
          <w:tcPr>
            <w:tcW w:type="dxa" w:w="2161"/>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토지피복도, 생태자연도</w:t>
            </w:r>
          </w:p>
        </w:tc>
        <w:tc>
          <w:tcPr>
            <w:tcW w:type="dxa" w:w="2034"/>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환경 빅데이터 플랫폼(환경부)</w:t>
            </w:r>
          </w:p>
        </w:tc>
        <w:tc>
          <w:tcPr>
            <w:tcW w:type="dxa" w:w="1907"/>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1:5,000~1:25,000</w:t>
            </w:r>
          </w:p>
        </w:tc>
        <w:tc>
          <w:tcPr>
            <w:tcW w:type="dxa" w:w="2924"/>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대조구 매칭(피복 동질성), 산림 마스크</w:t>
            </w:r>
          </w:p>
        </w:tc>
      </w:tr>
      <w:tr>
        <w:tc>
          <w:tcPr>
            <w:tcW w:type="dxa" w:w="2161"/>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기후변화 감시·상황지도, ASOS/AWS</w:t>
            </w:r>
          </w:p>
        </w:tc>
        <w:tc>
          <w:tcPr>
            <w:tcW w:type="dxa" w:w="2034"/>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기상청 종합 기후변화감시정보, 기상청 API허브</w:t>
            </w:r>
          </w:p>
        </w:tc>
        <w:tc>
          <w:tcPr>
            <w:tcW w:type="dxa" w:w="1907"/>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관측소·격자, 일</w:t>
            </w:r>
          </w:p>
        </w:tc>
        <w:tc>
          <w:tcPr>
            <w:tcW w:type="dxa" w:w="2924"/>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사건 강도 보정(강우량·기온), 기준기후</w:t>
            </w:r>
          </w:p>
        </w:tc>
      </w:tr>
      <w:tr>
        <w:tc>
          <w:tcPr>
            <w:tcW w:type="dxa" w:w="2161"/>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건축물대장 표제부</w:t>
            </w:r>
          </w:p>
        </w:tc>
        <w:tc>
          <w:tcPr>
            <w:tcW w:type="dxa" w:w="2034"/>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국토교통부(공공데이터포털)</w:t>
            </w:r>
          </w:p>
        </w:tc>
        <w:tc>
          <w:tcPr>
            <w:tcW w:type="dxa" w:w="1907"/>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건물 단위</w:t>
            </w:r>
          </w:p>
        </w:tc>
        <w:tc>
          <w:tcPr>
            <w:tcW w:type="dxa" w:w="2924"/>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노후도·구조·주용도(형평성 감사)</w:t>
            </w:r>
          </w:p>
        </w:tc>
      </w:tr>
      <w:tr>
        <w:tc>
          <w:tcPr>
            <w:tcW w:type="dxa" w:w="2161"/>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인구주택총조사 격자·집계구</w:t>
            </w:r>
          </w:p>
        </w:tc>
        <w:tc>
          <w:tcPr>
            <w:tcW w:type="dxa" w:w="2034"/>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통계청 SGIS 오픈API</w:t>
            </w:r>
          </w:p>
        </w:tc>
        <w:tc>
          <w:tcPr>
            <w:tcW w:type="dxa" w:w="1907"/>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100 m~500 m 격자</w:t>
            </w:r>
          </w:p>
        </w:tc>
        <w:tc>
          <w:tcPr>
            <w:tcW w:type="dxa" w:w="2924"/>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고령·1인가구 분포</w:t>
            </w:r>
          </w:p>
        </w:tc>
      </w:tr>
      <w:tr>
        <w:tc>
          <w:tcPr>
            <w:tcW w:type="dxa" w:w="2161"/>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산불피해 현황·복원 계획, 적응대책·이행점검 보고서</w:t>
            </w:r>
          </w:p>
        </w:tc>
        <w:tc>
          <w:tcPr>
            <w:tcW w:type="dxa" w:w="2034"/>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산림청, 지자체·공공기관(공개·정보공개청구)</w:t>
            </w:r>
          </w:p>
        </w:tc>
        <w:tc>
          <w:tcPr>
            <w:tcW w:type="dxa" w:w="1907"/>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사업 단위</w:t>
            </w:r>
          </w:p>
        </w:tc>
        <w:tc>
          <w:tcPr>
            <w:tcW w:type="dxa" w:w="2924"/>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처리구 위치·기간·예산</w:t>
            </w:r>
          </w:p>
        </w:tc>
      </w:tr>
    </w:tbl>
    <w:p>
      <w:pPr>
        <w:spacing w:after="60" w:before="0" w:line="264"/>
        <w:jc w:val="both"/>
      </w:pPr>
      <w:r>
        <w:rPr>
          <w:rFonts w:ascii="맑은 고딕" w:cs="맑은 고딕" w:eastAsia="맑은 고딕" w:hAnsi="맑은 고딕"/>
          <w:sz w:val="20"/>
          <w:szCs w:val="20"/>
        </w:rPr>
        <w:t xml:space="preserve">모든 자료가 무료·공개이므로 데이터 조달 변동비는 사실상 0이며, 장면 식별자·처리 기준선·마스킹 규칙·임계값을 기록한 처리 매니페스트를 보고서와 함께 제공해 제3자가 같은 결과를 재현할 수 있게 한다. 기대 효과는 현장조사 없이 전국 어느 사업이든 같은 기준으로 매년 재평가할 수 있다는 점과, 기준선이 길어질수록 검정력이 높아져 서비스 가치가 시간에 따라 증가한다는 점이다.</w:t>
      </w:r>
    </w:p>
    <w:p>
      <w:pPr>
        <w:pStyle w:val="Heading1"/>
        <w:spacing w:after="70" w:before="160"/>
      </w:pPr>
      <w:r>
        <w:rPr>
          <w:rFonts w:ascii="맑은 고딕" w:cs="맑은 고딕" w:eastAsia="맑은 고딕" w:hAnsi="맑은 고딕"/>
          <w:b/>
          <w:bCs/>
          <w:color w:val="F24F4F"/>
          <w:sz w:val="30"/>
          <w:szCs w:val="30"/>
        </w:rPr>
        <w:t xml:space="preserve">운영 및 적용 방안</w:t>
      </w:r>
    </w:p>
    <w:p>
      <w:pPr>
        <w:pStyle w:val="Heading2"/>
        <w:spacing w:after="36" w:before="100"/>
      </w:pPr>
      <w:r>
        <w:rPr>
          <w:rFonts w:ascii="맑은 고딕" w:cs="맑은 고딕" w:eastAsia="맑은 고딕" w:hAnsi="맑은 고딕"/>
          <w:b/>
          <w:bCs/>
          <w:color w:val="002060"/>
          <w:sz w:val="22"/>
          <w:szCs w:val="22"/>
        </w:rPr>
        <w:t xml:space="preserve">5.1 운영 방식</w:t>
      </w:r>
    </w:p>
    <w:p>
      <w:pPr>
        <w:spacing w:after="60" w:before="0" w:line="264"/>
        <w:jc w:val="both"/>
      </w:pPr>
      <w:r>
        <w:rPr>
          <w:rFonts w:ascii="맑은 고딕" w:cs="맑은 고딕" w:eastAsia="맑은 고딕" w:hAnsi="맑은 고딕"/>
          <w:sz w:val="20"/>
          <w:szCs w:val="20"/>
        </w:rPr>
        <w:t xml:space="preserve">운영은 법정 보고 달력에 결제 시점을 고정하는 연간 주기로 설계한다(그림 5). 5~10월에 생장기·강우기·폭염기 관측을 축적하고, 11~12월에 전년 집행 사업 대장을 협약 지자체로부터 수집하거나 공고·정보공개청구로 보강하며, 1~3월에 분석과 보고서 조립을 마쳐 4월 30일 제출에 맞춘다. 지자체 측 작업은 사업 위치·기간·예산 표 제공으로 한정되고, 현장 방문은 효과가 검출된 사업과 검출되지 않은 사업 각 1~2곳의 교차확인에만 쓴다. 공공기관은 상반기 이행실적 제출 일정에, 기업은 공시 일정에 같은 산출물을 맞춘다. 학교·교육청에는 냉방·그늘·배수 시설 투자 효과 확인용 축약 패키지를 제공한다.</w:t>
      </w:r>
    </w:p>
    <w:p>
      <w:pPr>
        <w:spacing w:after="60" w:before="0" w:line="264"/>
        <w:jc w:val="both"/>
      </w:pPr>
      <w:r>
        <w:rPr>
          <w:rFonts w:ascii="맑은 고딕" w:cs="맑은 고딕" w:eastAsia="맑은 고딕" w:hAnsi="맑은 고딕"/>
          <w:sz w:val="20"/>
          <w:szCs w:val="20"/>
        </w:rPr>
        <w:t xml:space="preserve">오용 방지 원칙을 계약에 명시한다. ① 사전 등록(처리구·대조구·지표·임계값을 산출 전에 고정), ② 중립 보고(검출·미검출을 같은 양식으로, 발주처에 불리한 결과도 삭제하지 않음), ③ 이력 공개(재검정 시 이전 판정과 사유 기록), ④ 용도 제한(사업 평가 문서이며 개인·세대 선별이나 가격 결정에 쓰지 않음).</w:t>
      </w:r>
    </w:p>
    <w:p>
      <w:pPr>
        <w:spacing w:after="0" w:before="80"/>
        <w:jc w:val="center"/>
      </w:pPr>
      <w:r>
        <w:drawing>
          <wp:inline distT="0" distB="0" distL="0" distR="0">
            <wp:extent cx="41148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14800" cy="2000250"/>
                    </a:xfrm>
                    <a:prstGeom prst="rect">
                      <a:avLst/>
                    </a:prstGeom>
                  </pic:spPr>
                </pic:pic>
              </a:graphicData>
            </a:graphic>
          </wp:inline>
        </w:drawing>
      </w:r>
    </w:p>
    <w:p>
      <w:pPr>
        <w:spacing w:after="60" w:before="30"/>
        <w:jc w:val="center"/>
      </w:pPr>
      <w:r>
        <w:rPr>
          <w:rFonts w:ascii="맑은 고딕" w:cs="맑은 고딕" w:eastAsia="맑은 고딕" w:hAnsi="맑은 고딕"/>
          <w:color w:val="595959"/>
          <w:sz w:val="17"/>
          <w:szCs w:val="17"/>
        </w:rPr>
        <w:t xml:space="preserve">그림 5. 법정 적응 거버넌스 달력과 위성 관측 가용 시기, 산출물 납품 창구(1~3월)</w:t>
      </w:r>
    </w:p>
    <w:p>
      <w:pPr>
        <w:pStyle w:val="Heading2"/>
        <w:spacing w:after="36" w:before="100"/>
      </w:pPr>
      <w:r>
        <w:rPr>
          <w:rFonts w:ascii="맑은 고딕" w:cs="맑은 고딕" w:eastAsia="맑은 고딕" w:hAnsi="맑은 고딕"/>
          <w:b/>
          <w:bCs/>
          <w:color w:val="002060"/>
          <w:sz w:val="22"/>
          <w:szCs w:val="22"/>
        </w:rPr>
        <w:t xml:space="preserve">5.2 자원 및 예산</w:t>
      </w:r>
    </w:p>
    <w:p>
      <w:pPr>
        <w:spacing w:after="60" w:before="0" w:line="264"/>
        <w:jc w:val="both"/>
      </w:pPr>
      <w:r>
        <w:rPr>
          <w:rFonts w:ascii="맑은 고딕" w:cs="맑은 고딕" w:eastAsia="맑은 고딕" w:hAnsi="맑은 고딕"/>
          <w:sz w:val="20"/>
          <w:szCs w:val="20"/>
        </w:rPr>
        <w:t xml:space="preserve">필요 자원은 인력 4명과 소규모 클라우드 인프라이다. 위성 아카이브와 STAC 검색은 무료이고 전처리는 장면 단위 창 읽기로 수행하므로 대용량 저장소가 필요 없다. 1년차(파일럿) 소요 예산은 아래와 같이 가정하며, 인건비 외 항목은 월 10만 원 미만의 서버와 출장비가 대부분이다.</w:t>
      </w:r>
    </w:p>
    <w:p>
      <w:pPr>
        <w:spacing w:after="30" w:before="100"/>
        <w:jc w:val="left"/>
      </w:pPr>
      <w:r>
        <w:rPr>
          <w:rFonts w:ascii="맑은 고딕" w:cs="맑은 고딕" w:eastAsia="맑은 고딕" w:hAnsi="맑은 고딕"/>
          <w:b/>
          <w:bCs/>
          <w:color w:val="002060"/>
          <w:sz w:val="18"/>
          <w:szCs w:val="18"/>
        </w:rPr>
        <w:t xml:space="preserve">표 6. 1년차 운영 자원과 예산(가정값)</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1"/>
        <w:gridCol w:w="4029"/>
        <w:gridCol w:w="2095"/>
      </w:tblGrid>
      <w:tr>
        <w:trPr>
          <w:tblHeader/>
        </w:trPr>
        <w:tc>
          <w:tcPr>
            <w:tcW w:type="dxa" w:w="2901"/>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항목</w:t>
            </w:r>
          </w:p>
        </w:tc>
        <w:tc>
          <w:tcPr>
            <w:tcW w:type="dxa" w:w="4029"/>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내용</w:t>
            </w:r>
          </w:p>
        </w:tc>
        <w:tc>
          <w:tcPr>
            <w:tcW w:type="dxa" w:w="2095"/>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연간(만 원)</w:t>
            </w:r>
          </w:p>
        </w:tc>
      </w:tr>
      <w:tr>
        <w:tc>
          <w:tcPr>
            <w:tcW w:type="dxa" w:w="2901"/>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인력</w:t>
            </w:r>
          </w:p>
        </w:tc>
        <w:tc>
          <w:tcPr>
            <w:tcW w:type="dxa" w:w="4029"/>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팀장(원격탐사·파이프라인), 데이터 분석, 정책·행정, 사업개발 각 1명(초기 파트타임)</w:t>
            </w:r>
          </w:p>
        </w:tc>
        <w:tc>
          <w:tcPr>
            <w:tcW w:type="dxa" w:w="2095"/>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인건비 별도 산정</w:t>
            </w:r>
          </w:p>
        </w:tc>
      </w:tr>
      <w:tr>
        <w:tc>
          <w:tcPr>
            <w:tcW w:type="dxa" w:w="2901"/>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인프라</w:t>
            </w:r>
          </w:p>
        </w:tc>
        <w:tc>
          <w:tcPr>
            <w:tcW w:type="dxa" w:w="4029"/>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API 서버(월 5~10만 원급), 정적 지도 호스팅, 코드 저장소</w:t>
            </w:r>
          </w:p>
        </w:tc>
        <w:tc>
          <w:tcPr>
            <w:tcW w:type="dxa" w:w="2095"/>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120</w:t>
            </w:r>
          </w:p>
        </w:tc>
      </w:tr>
      <w:tr>
        <w:tc>
          <w:tcPr>
            <w:tcW w:type="dxa" w:w="2901"/>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데이터</w:t>
            </w:r>
          </w:p>
        </w:tc>
        <w:tc>
          <w:tcPr>
            <w:tcW w:type="dxa" w:w="4029"/>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Copernicus·USGS·공공데이터 무료, 정보공개청구 수수료</w:t>
            </w:r>
          </w:p>
        </w:tc>
        <w:tc>
          <w:tcPr>
            <w:tcW w:type="dxa" w:w="2095"/>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20</w:t>
            </w:r>
          </w:p>
        </w:tc>
      </w:tr>
      <w:tr>
        <w:tc>
          <w:tcPr>
            <w:tcW w:type="dxa" w:w="2901"/>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현장 교차확인</w:t>
            </w:r>
          </w:p>
        </w:tc>
        <w:tc>
          <w:tcPr>
            <w:tcW w:type="dxa" w:w="4029"/>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검출·미검출 사업 각 1~2곳 출장</w:t>
            </w:r>
          </w:p>
        </w:tc>
        <w:tc>
          <w:tcPr>
            <w:tcW w:type="dxa" w:w="2095"/>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150</w:t>
            </w:r>
          </w:p>
        </w:tc>
      </w:tr>
      <w:tr>
        <w:tc>
          <w:tcPr>
            <w:tcW w:type="dxa" w:w="2901"/>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조달 준비</w:t>
            </w:r>
          </w:p>
        </w:tc>
        <w:tc>
          <w:tcPr>
            <w:tcW w:type="dxa" w:w="4029"/>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디지털서비스 전문계약 요건(CSAP) 검토(2년차 이후 본격)</w:t>
            </w:r>
          </w:p>
        </w:tc>
        <w:tc>
          <w:tcPr>
            <w:tcW w:type="dxa" w:w="2095"/>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100</w:t>
            </w:r>
          </w:p>
        </w:tc>
      </w:tr>
    </w:tbl>
    <w:p>
      <w:pPr>
        <w:pStyle w:val="Heading2"/>
        <w:spacing w:after="36" w:before="100"/>
      </w:pPr>
      <w:r>
        <w:rPr>
          <w:rFonts w:ascii="맑은 고딕" w:cs="맑은 고딕" w:eastAsia="맑은 고딕" w:hAnsi="맑은 고딕"/>
          <w:b/>
          <w:bCs/>
          <w:color w:val="002060"/>
          <w:sz w:val="22"/>
          <w:szCs w:val="22"/>
        </w:rPr>
        <w:t xml:space="preserve">5.3 가치 창출</w:t>
      </w:r>
    </w:p>
    <w:p>
      <w:pPr>
        <w:spacing w:after="60" w:before="0" w:line="264"/>
        <w:jc w:val="both"/>
      </w:pPr>
      <w:r>
        <w:rPr>
          <w:rFonts w:ascii="맑은 고딕" w:cs="맑은 고딕" w:eastAsia="맑은 고딕" w:hAnsi="맑은 고딕"/>
          <w:sz w:val="20"/>
          <w:szCs w:val="20"/>
        </w:rPr>
        <w:t xml:space="preserve">경제적 가치는 네 층의 수익 모델로 창출한다. 1층은 적응대책 수립 용역의 취약성·성과 평가 과업 하도급(건당 1,000~1,500만 원), 2층은 기초지자체 연간 검증 패키지 구독(2,000~4,000만 원, 수의계약 범위), 3층은 공공기관 적응대책 정량화 과업과 디지털서비스 전문계약 SaaS(건당 평균 약 4,900만 원 수준), 4층은 기업 공시용 적응 조치 성과 모듈이다. 시공·자재사에는 사업 효과 입증 자료를 성과형 수수료로 제공하되 1차 매출로 가정하지 않는다. 시나리오별 매출은 공고로 확인된 단가와 발주 주기에서 계산한 값이며 예측이 아니다(그림 1b). 기본 시나리오는 1년차 용역 서브 5건, 2년차 서브 6건과 구독 3곳, 3년차 서브 6건·구독 6곳·공공기관 3곳·SaaS 1건을 가정해 각각 0.65억, 2.05억, 3.94억 원이고, 하향 시나리오는 3년차 0.70억 원으로 팀 인건비에 미달하므로 환경부 공모·연구과제 병행이 전제된다. 사회적 가치는 적응 예산이 취약계층에 도달했는지를 공개하는 형평성 감사와, 효과 없는 사업의 조기 재설계로 생기는 예산 절감이다.</w:t>
      </w:r>
    </w:p>
    <w:p>
      <w:pPr>
        <w:spacing w:after="30" w:before="100"/>
        <w:jc w:val="left"/>
      </w:pPr>
      <w:r>
        <w:rPr>
          <w:rFonts w:ascii="맑은 고딕" w:cs="맑은 고딕" w:eastAsia="맑은 고딕" w:hAnsi="맑은 고딕"/>
          <w:b/>
          <w:bCs/>
          <w:color w:val="002060"/>
          <w:sz w:val="18"/>
          <w:szCs w:val="18"/>
        </w:rPr>
        <w:t xml:space="preserve">표 7. 수익 모델과 시나리오 가정</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3"/>
        <w:gridCol w:w="2229"/>
        <w:gridCol w:w="1337"/>
        <w:gridCol w:w="1226"/>
        <w:gridCol w:w="1226"/>
        <w:gridCol w:w="1226"/>
      </w:tblGrid>
      <w:tr>
        <w:trPr>
          <w:tblHeader/>
        </w:trPr>
        <w:tc>
          <w:tcPr>
            <w:tcW w:type="dxa" w:w="1783"/>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층</w:t>
            </w:r>
          </w:p>
        </w:tc>
        <w:tc>
          <w:tcPr>
            <w:tcW w:type="dxa" w:w="2229"/>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상품</w:t>
            </w:r>
          </w:p>
        </w:tc>
        <w:tc>
          <w:tcPr>
            <w:tcW w:type="dxa" w:w="1337"/>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단가(가정)</w:t>
            </w:r>
          </w:p>
        </w:tc>
        <w:tc>
          <w:tcPr>
            <w:tcW w:type="dxa" w:w="1226"/>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1년차</w:t>
            </w:r>
          </w:p>
        </w:tc>
        <w:tc>
          <w:tcPr>
            <w:tcW w:type="dxa" w:w="1226"/>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2년차</w:t>
            </w:r>
          </w:p>
        </w:tc>
        <w:tc>
          <w:tcPr>
            <w:tcW w:type="dxa" w:w="1226"/>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3년차</w:t>
            </w:r>
          </w:p>
        </w:tc>
      </w:tr>
      <w:tr>
        <w:tc>
          <w:tcPr>
            <w:tcW w:type="dxa" w:w="1783"/>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1. 용역 하도급</w:t>
            </w:r>
          </w:p>
        </w:tc>
        <w:tc>
          <w:tcPr>
            <w:tcW w:type="dxa" w:w="2229"/>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적응대책 수립 용역의 평가 과업</w:t>
            </w:r>
          </w:p>
        </w:tc>
        <w:tc>
          <w:tcPr>
            <w:tcW w:type="dxa" w:w="1337"/>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1,000~1,500만 원/건</w:t>
            </w:r>
          </w:p>
        </w:tc>
        <w:tc>
          <w:tcPr>
            <w:tcW w:type="dxa" w:w="1226"/>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5건</w:t>
            </w:r>
          </w:p>
        </w:tc>
        <w:tc>
          <w:tcPr>
            <w:tcW w:type="dxa" w:w="1226"/>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6건</w:t>
            </w:r>
          </w:p>
        </w:tc>
        <w:tc>
          <w:tcPr>
            <w:tcW w:type="dxa" w:w="1226"/>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6건</w:t>
            </w:r>
          </w:p>
        </w:tc>
      </w:tr>
      <w:tr>
        <w:tc>
          <w:tcPr>
            <w:tcW w:type="dxa" w:w="1783"/>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2. 지자체 구독</w:t>
            </w:r>
          </w:p>
        </w:tc>
        <w:tc>
          <w:tcPr>
            <w:tcW w:type="dxa" w:w="2229"/>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연간 검증 패키지·이행점검 부록</w:t>
            </w:r>
          </w:p>
        </w:tc>
        <w:tc>
          <w:tcPr>
            <w:tcW w:type="dxa" w:w="1337"/>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2,000~4,000만 원/곳</w:t>
            </w:r>
          </w:p>
        </w:tc>
        <w:tc>
          <w:tcPr>
            <w:tcW w:type="dxa" w:w="1226"/>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무상 1곳</w:t>
            </w:r>
          </w:p>
        </w:tc>
        <w:tc>
          <w:tcPr>
            <w:tcW w:type="dxa" w:w="1226"/>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3곳</w:t>
            </w:r>
          </w:p>
        </w:tc>
        <w:tc>
          <w:tcPr>
            <w:tcW w:type="dxa" w:w="1226"/>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6곳</w:t>
            </w:r>
          </w:p>
        </w:tc>
      </w:tr>
      <w:tr>
        <w:tc>
          <w:tcPr>
            <w:tcW w:type="dxa" w:w="1783"/>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3. 공공기관·SaaS</w:t>
            </w:r>
          </w:p>
        </w:tc>
        <w:tc>
          <w:tcPr>
            <w:tcW w:type="dxa" w:w="2229"/>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적응대책 정량화, 디지털서비스 전문계약</w:t>
            </w:r>
          </w:p>
        </w:tc>
        <w:tc>
          <w:tcPr>
            <w:tcW w:type="dxa" w:w="1337"/>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3,000~4,900만 원/건</w:t>
            </w:r>
          </w:p>
        </w:tc>
        <w:tc>
          <w:tcPr>
            <w:tcW w:type="dxa" w:w="1226"/>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w:t>
            </w:r>
          </w:p>
        </w:tc>
        <w:tc>
          <w:tcPr>
            <w:tcW w:type="dxa" w:w="1226"/>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w:t>
            </w:r>
          </w:p>
        </w:tc>
        <w:tc>
          <w:tcPr>
            <w:tcW w:type="dxa" w:w="1226"/>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3+1건</w:t>
            </w:r>
          </w:p>
        </w:tc>
      </w:tr>
      <w:tr>
        <w:tc>
          <w:tcPr>
            <w:tcW w:type="dxa" w:w="1783"/>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4. 기업 공시 모듈</w:t>
            </w:r>
          </w:p>
        </w:tc>
        <w:tc>
          <w:tcPr>
            <w:tcW w:type="dxa" w:w="2229"/>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적응 조치 성과 입증(FY27 이후)</w:t>
            </w:r>
          </w:p>
        </w:tc>
        <w:tc>
          <w:tcPr>
            <w:tcW w:type="dxa" w:w="1337"/>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건당 보고서</w:t>
            </w:r>
          </w:p>
        </w:tc>
        <w:tc>
          <w:tcPr>
            <w:tcW w:type="dxa" w:w="1226"/>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w:t>
            </w:r>
          </w:p>
        </w:tc>
        <w:tc>
          <w:tcPr>
            <w:tcW w:type="dxa" w:w="1226"/>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w:t>
            </w:r>
          </w:p>
        </w:tc>
        <w:tc>
          <w:tcPr>
            <w:tcW w:type="dxa" w:w="1226"/>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탐색</w:t>
            </w:r>
          </w:p>
        </w:tc>
      </w:tr>
      <w:tr>
        <w:tc>
          <w:tcPr>
            <w:tcW w:type="dxa" w:w="1783"/>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합계(기본)</w:t>
            </w:r>
          </w:p>
        </w:tc>
        <w:tc>
          <w:tcPr>
            <w:tcW w:type="dxa" w:w="2229"/>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
            </w:r>
          </w:p>
        </w:tc>
        <w:tc>
          <w:tcPr>
            <w:tcW w:type="dxa" w:w="1337"/>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
            </w:r>
          </w:p>
        </w:tc>
        <w:tc>
          <w:tcPr>
            <w:tcW w:type="dxa" w:w="1226"/>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0.65억</w:t>
            </w:r>
          </w:p>
        </w:tc>
        <w:tc>
          <w:tcPr>
            <w:tcW w:type="dxa" w:w="1226"/>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2.05억</w:t>
            </w:r>
          </w:p>
        </w:tc>
        <w:tc>
          <w:tcPr>
            <w:tcW w:type="dxa" w:w="1226"/>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3.94억</w:t>
            </w:r>
          </w:p>
        </w:tc>
      </w:tr>
    </w:tbl>
    <w:p>
      <w:pPr>
        <w:pStyle w:val="Heading2"/>
        <w:spacing w:after="36" w:before="100"/>
      </w:pPr>
      <w:r>
        <w:rPr>
          <w:rFonts w:ascii="맑은 고딕" w:cs="맑은 고딕" w:eastAsia="맑은 고딕" w:hAnsi="맑은 고딕"/>
          <w:b/>
          <w:bCs/>
          <w:color w:val="002060"/>
          <w:sz w:val="22"/>
          <w:szCs w:val="22"/>
        </w:rPr>
        <w:t xml:space="preserve">5.4 협력 및 확장</w:t>
      </w:r>
    </w:p>
    <w:p>
      <w:pPr>
        <w:spacing w:after="60" w:before="0" w:line="264"/>
        <w:jc w:val="both"/>
      </w:pPr>
      <w:r>
        <w:rPr>
          <w:rFonts w:ascii="맑은 고딕" w:cs="맑은 고딕" w:eastAsia="맑은 고딕" w:hAnsi="맑은 고딕"/>
          <w:sz w:val="20"/>
          <w:szCs w:val="20"/>
        </w:rPr>
        <w:t xml:space="preserve">협력은 자료 제공자와 채널 두 축으로 구성한다. 자료 축에서는 산림청·국립산림과학원(복원 구역 자료), 서울시·SH(쿨루프 시공 위치), 한국환경연구원 국가기후위기적응센터(이행점검 양식·지침 연계)와 협약을 추진하고, 채널 축에서는 적응대책 수립 용역 수행사와 하도급 관계를, 국민대학교 기후변화대응사업단과는 파일럿 지자체 연계를 맺는다. 확장은 사업 유형(한파·가뭄·해안침식·도시침수), 고객(공공기관→기업 공시), 지역(전국 동일 프로토콜) 순으로 진행하며, 국제적으로는 UNFCCC 글로벌 적응 목표 지표 체계에서 요구하는 적응 성과 측정의 국가 사례로 제시할 수 있다.</w:t>
      </w:r>
    </w:p>
    <w:p>
      <w:pPr>
        <w:pStyle w:val="Heading1"/>
        <w:spacing w:after="70" w:before="160"/>
      </w:pPr>
      <w:r>
        <w:rPr>
          <w:rFonts w:ascii="맑은 고딕" w:cs="맑은 고딕" w:eastAsia="맑은 고딕" w:hAnsi="맑은 고딕"/>
          <w:b/>
          <w:bCs/>
          <w:color w:val="F24F4F"/>
          <w:sz w:val="30"/>
          <w:szCs w:val="30"/>
        </w:rPr>
        <w:t xml:space="preserve">기대 효과 및 리스크 관리</w:t>
      </w:r>
    </w:p>
    <w:p>
      <w:pPr>
        <w:pStyle w:val="Heading2"/>
        <w:spacing w:after="36" w:before="100"/>
      </w:pPr>
      <w:r>
        <w:rPr>
          <w:rFonts w:ascii="맑은 고딕" w:cs="맑은 고딕" w:eastAsia="맑은 고딕" w:hAnsi="맑은 고딕"/>
          <w:b/>
          <w:bCs/>
          <w:color w:val="002060"/>
          <w:sz w:val="22"/>
          <w:szCs w:val="22"/>
        </w:rPr>
        <w:t xml:space="preserve">6.1 환경적 효과</w:t>
      </w:r>
    </w:p>
    <w:p>
      <w:pPr>
        <w:spacing w:after="60" w:before="0" w:line="264"/>
        <w:jc w:val="both"/>
      </w:pPr>
      <w:r>
        <w:rPr>
          <w:rFonts w:ascii="맑은 고딕" w:cs="맑은 고딕" w:eastAsia="맑은 고딕" w:hAnsi="맑은 고딕"/>
          <w:sz w:val="20"/>
          <w:szCs w:val="20"/>
        </w:rPr>
        <w:t xml:space="preserve">복구·복원 사업의 효과를 매년 관측하면 회복이 지연되는 피해지에 보식·사방 자원을 우선 배분할 수 있고, 자연복원 가정이 성립하지 않는 구역을 조기에 식별할 수 있다. 침수 방재 사업의 효과를 사건 강도로 보정해 비교하면 구조물 설치 이후에도 침수가 반복되는 구역을 가려내어 설계 기준을 재검토하게 한다. 열 저감 사업은 블록 단위 온도 저감이 검출되는 입지 조건을 축적하여 차년도 사업지 선정을 개선한다.</w:t>
      </w:r>
    </w:p>
    <w:p>
      <w:pPr>
        <w:pStyle w:val="Heading2"/>
        <w:spacing w:after="36" w:before="100"/>
      </w:pPr>
      <w:r>
        <w:rPr>
          <w:rFonts w:ascii="맑은 고딕" w:cs="맑은 고딕" w:eastAsia="맑은 고딕" w:hAnsi="맑은 고딕"/>
          <w:b/>
          <w:bCs/>
          <w:color w:val="002060"/>
          <w:sz w:val="22"/>
          <w:szCs w:val="22"/>
        </w:rPr>
        <w:t xml:space="preserve">6.2 경제적·사회적 효과</w:t>
      </w:r>
    </w:p>
    <w:p>
      <w:pPr>
        <w:spacing w:after="60" w:before="0" w:line="264"/>
        <w:jc w:val="both"/>
      </w:pPr>
      <w:r>
        <w:rPr>
          <w:rFonts w:ascii="맑은 고딕" w:cs="맑은 고딕" w:eastAsia="맑은 고딕" w:hAnsi="맑은 고딕"/>
          <w:sz w:val="20"/>
          <w:szCs w:val="20"/>
        </w:rPr>
        <w:t xml:space="preserve">적응 예산의 효과 기반 재배분은 기후대응기금 적응 분야 1,654억 원 규모의 지출 효율을 높이는 직접 효과를 갖는다. 형평성 감사는 선착순 집행이 노후주택·고령 1인가구 밀집 지역을 비켜 가는 경우를 수치로 드러내어 다음 집행의 선정 기준을 바꾼다. 행정 측면에서는 현장조사에 의존하던 성과 확인을 위성 관측으로 대체하여 조사 인력과 기간을 절감하고, 지자체 간 동일 기준 비교를 가능하게 한다.</w:t>
      </w:r>
    </w:p>
    <w:p>
      <w:pPr>
        <w:pStyle w:val="Heading2"/>
        <w:spacing w:after="36" w:before="100"/>
      </w:pPr>
      <w:r>
        <w:rPr>
          <w:rFonts w:ascii="맑은 고딕" w:cs="맑은 고딕" w:eastAsia="맑은 고딕" w:hAnsi="맑은 고딕"/>
          <w:b/>
          <w:bCs/>
          <w:color w:val="002060"/>
          <w:sz w:val="22"/>
          <w:szCs w:val="22"/>
        </w:rPr>
        <w:t xml:space="preserve">6.3 실현 가능성 평가</w:t>
      </w:r>
    </w:p>
    <w:p>
      <w:pPr>
        <w:spacing w:after="60" w:before="0" w:line="264"/>
        <w:jc w:val="both"/>
      </w:pPr>
      <w:r>
        <w:rPr>
          <w:rFonts w:ascii="맑은 고딕" w:cs="맑은 고딕" w:eastAsia="맑은 고딕" w:hAnsi="맑은 고딕"/>
          <w:sz w:val="20"/>
          <w:szCs w:val="20"/>
        </w:rPr>
        <w:t xml:space="preserve">기술적 실현 가능성은 본 기획서의 그림 3·4와 그림 6이 보여준다. 공개 자료와 기존 파이프라인만으로 복구 모듈의 전 과정을 실행했고, 산불·열·침수 세 모듈과 형평성 감사, 설명 대화를 갖춘 프로토타입을 공개 저장소와 웹 서비스로 배포했다(그림 6, 참고자료 26). 경제적 실현 가능성은 지불 단가가 공고문으로 확인되는 적응대책 용역(5,000~6,970만 원)과 2025~2027년에 집중된 제3차 대책 발주 주기, 변동비가 0에 가까운 원가 구조에 근거한다. 법적 실현 가능성은 사용 자료가 모두 공개 라이선스(Copernicus·USGS·공공데이터)이고, 분석 단위가 건물·필지·격자 이상으로 개인 식별 정보를 수집하지 않으며, 지자체 적응대책 이행점검이 법정 의무로 매년 반복된다는 점에 있다.</w:t>
      </w:r>
    </w:p>
    <w:p>
      <w:pPr>
        <w:spacing w:after="0" w:before="80"/>
        <w:jc w:val="center"/>
      </w:pPr>
      <w:r>
        <w:drawing>
          <wp:inline distT="0" distB="0" distL="0" distR="0">
            <wp:extent cx="35623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62350" cy="2228850"/>
                    </a:xfrm>
                    <a:prstGeom prst="rect">
                      <a:avLst/>
                    </a:prstGeom>
                  </pic:spPr>
                </pic:pic>
              </a:graphicData>
            </a:graphic>
          </wp:inline>
        </w:drawing>
      </w:r>
    </w:p>
    <w:p>
      <w:pPr>
        <w:spacing w:after="60" w:before="30"/>
        <w:jc w:val="center"/>
      </w:pPr>
      <w:r>
        <w:rPr>
          <w:rFonts w:ascii="맑은 고딕" w:cs="맑은 고딕" w:eastAsia="맑은 고딕" w:hAnsi="맑은 고딕"/>
          <w:color w:val="595959"/>
          <w:sz w:val="17"/>
          <w:szCs w:val="17"/>
        </w:rPr>
        <w:t xml:space="preserve">그림 6. 적응 영수증 프로토타입 화면(2025 영남 산불 복원지 성과 카드: 피해등급 지도, 지표 장부, 판정, 회복 단면도). 소스 코드 https://github.com/tradeprogram/Adaptation_receipt · 서비스 https://adaptation-receipt-two.vercel.app</w:t>
      </w:r>
    </w:p>
    <w:p>
      <w:pPr>
        <w:pStyle w:val="Heading2"/>
        <w:spacing w:after="36" w:before="100"/>
      </w:pPr>
      <w:r>
        <w:rPr>
          <w:rFonts w:ascii="맑은 고딕" w:cs="맑은 고딕" w:eastAsia="맑은 고딕" w:hAnsi="맑은 고딕"/>
          <w:b/>
          <w:bCs/>
          <w:color w:val="002060"/>
          <w:sz w:val="22"/>
          <w:szCs w:val="22"/>
        </w:rPr>
        <w:t xml:space="preserve">6.4 리스크 분석</w:t>
      </w:r>
    </w:p>
    <w:p>
      <w:pPr>
        <w:spacing w:after="30" w:before="100"/>
        <w:jc w:val="left"/>
      </w:pPr>
      <w:r>
        <w:rPr>
          <w:rFonts w:ascii="맑은 고딕" w:cs="맑은 고딕" w:eastAsia="맑은 고딕" w:hAnsi="맑은 고딕"/>
          <w:b/>
          <w:bCs/>
          <w:color w:val="002060"/>
          <w:sz w:val="18"/>
          <w:szCs w:val="18"/>
        </w:rPr>
        <w:t xml:space="preserve">표 8. 주요 리스크와 대응</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2797"/>
        <w:gridCol w:w="4068"/>
      </w:tblGrid>
      <w:tr>
        <w:trPr>
          <w:tblHeader/>
        </w:trPr>
        <w:tc>
          <w:tcPr>
            <w:tcW w:type="dxa" w:w="2161"/>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리스크</w:t>
            </w:r>
          </w:p>
        </w:tc>
        <w:tc>
          <w:tcPr>
            <w:tcW w:type="dxa" w:w="2797"/>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영향</w:t>
            </w:r>
          </w:p>
        </w:tc>
        <w:tc>
          <w:tcPr>
            <w:tcW w:type="dxa" w:w="4068"/>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대응</w:t>
            </w:r>
          </w:p>
        </w:tc>
      </w:tr>
      <w:tr>
        <w:tc>
          <w:tcPr>
            <w:tcW w:type="dxa" w:w="2161"/>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효과 미검출·검정력 부족(30 m 해상도의 소형 사업)</w:t>
            </w:r>
          </w:p>
        </w:tc>
        <w:tc>
          <w:tcPr>
            <w:tcW w:type="dxa" w:w="2797"/>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성과 카드가 '미검출'로 채워져 고객 효용 저하</w:t>
            </w:r>
          </w:p>
        </w:tc>
        <w:tc>
          <w:tcPr>
            <w:tcW w:type="dxa" w:w="4068"/>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검출 가능 최소효과를 사전 계산해 블록 단위로 집계, 다년 누적으로 검정력 확보, '미검출'도 재설계 근거로 제시</w:t>
            </w:r>
          </w:p>
        </w:tc>
      </w:tr>
      <w:tr>
        <w:tc>
          <w:tcPr>
            <w:tcW w:type="dxa" w:w="2161"/>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구름·관측 공백, 궤도 가장자리</w:t>
            </w:r>
          </w:p>
        </w:tc>
        <w:tc>
          <w:tcPr>
            <w:tcW w:type="dxa" w:w="2797"/>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생장기·폭염기 유효 장면 부족</w:t>
            </w:r>
          </w:p>
        </w:tc>
        <w:tc>
          <w:tcPr>
            <w:tcW w:type="dxa" w:w="4068"/>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광학·SAR 교차 보완, 관측가능성 등급을 사업별로 사전 고지, 동일 궤도 원칙 유지</w:t>
            </w:r>
          </w:p>
        </w:tc>
      </w:tr>
      <w:tr>
        <w:tc>
          <w:tcPr>
            <w:tcW w:type="dxa" w:w="2161"/>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사업 위치·기간 자료 비공개</w:t>
            </w:r>
          </w:p>
        </w:tc>
        <w:tc>
          <w:tcPr>
            <w:tcW w:type="dxa" w:w="2797"/>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처리구 정의 불가</w:t>
            </w:r>
          </w:p>
        </w:tc>
        <w:tc>
          <w:tcPr>
            <w:tcW w:type="dxa" w:w="4068"/>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공고·보도자료·정보공개청구로 보강, 협약 지자체 우선, 공공기관 지침의 외부전문가 조항 활용</w:t>
            </w:r>
          </w:p>
        </w:tc>
      </w:tr>
      <w:tr>
        <w:tc>
          <w:tcPr>
            <w:tcW w:type="dxa" w:w="2161"/>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공공 연구기관의 무상 대체</w:t>
            </w:r>
          </w:p>
        </w:tc>
        <w:tc>
          <w:tcPr>
            <w:tcW w:type="dxa" w:w="2797"/>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유료 수요 잠식</w:t>
            </w:r>
          </w:p>
        </w:tc>
        <w:tc>
          <w:tcPr>
            <w:tcW w:type="dxa" w:w="4068"/>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매년 갱신·사업 단위·사전 등록 프로토콜로 반복 수행이 어려운 영역 선점, 연구기관과는 자료 협력</w:t>
            </w:r>
          </w:p>
        </w:tc>
      </w:tr>
      <w:tr>
        <w:tc>
          <w:tcPr>
            <w:tcW w:type="dxa" w:w="2161"/>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조달 장벽(CSAP 인증, 입찰 자격)</w:t>
            </w:r>
          </w:p>
        </w:tc>
        <w:tc>
          <w:tcPr>
            <w:tcW w:type="dxa" w:w="2797"/>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SaaS 전환 지연</w:t>
            </w:r>
          </w:p>
        </w:tc>
        <w:tc>
          <w:tcPr>
            <w:tcW w:type="dxa" w:w="4068"/>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1~2년차는 용역 하도급·수의계약 범위에서 운영, 3년차 SaaS</w:t>
            </w:r>
          </w:p>
        </w:tc>
      </w:tr>
      <w:tr>
        <w:tc>
          <w:tcPr>
            <w:tcW w:type="dxa" w:w="2161"/>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발주처에 불리한 결과의 수용성</w:t>
            </w:r>
          </w:p>
        </w:tc>
        <w:tc>
          <w:tcPr>
            <w:tcW w:type="dxa" w:w="2797"/>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계약 갱신 거부</w:t>
            </w:r>
          </w:p>
        </w:tc>
        <w:tc>
          <w:tcPr>
            <w:tcW w:type="dxa" w:w="4068"/>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사전 등록·중립 보고 원칙 명문화, 개선 권고와 재배분 시뮬레이션 동봉</w:t>
            </w:r>
          </w:p>
        </w:tc>
      </w:tr>
      <w:tr>
        <w:tc>
          <w:tcPr>
            <w:tcW w:type="dxa" w:w="2161"/>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하향 시나리오의 수익 미달</w:t>
            </w:r>
          </w:p>
        </w:tc>
        <w:tc>
          <w:tcPr>
            <w:tcW w:type="dxa" w:w="2797"/>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팀 지속성</w:t>
            </w:r>
          </w:p>
        </w:tc>
        <w:tc>
          <w:tcPr>
            <w:tcW w:type="dxa" w:w="4068"/>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환경부 공모(지자체 제안사업)·연구과제 병행, 인건비 외 고정비 최소화</w:t>
            </w:r>
          </w:p>
        </w:tc>
      </w:tr>
    </w:tbl>
    <w:p>
      <w:pPr>
        <w:pStyle w:val="Heading1"/>
        <w:spacing w:after="70" w:before="160"/>
      </w:pPr>
      <w:r>
        <w:rPr>
          <w:rFonts w:ascii="맑은 고딕" w:cs="맑은 고딕" w:eastAsia="맑은 고딕" w:hAnsi="맑은 고딕"/>
          <w:b/>
          <w:bCs/>
          <w:color w:val="F24F4F"/>
          <w:sz w:val="30"/>
          <w:szCs w:val="30"/>
        </w:rPr>
        <w:t xml:space="preserve">팀 소개</w:t>
      </w:r>
    </w:p>
    <w:p>
      <w:pPr>
        <w:spacing w:after="60" w:before="0" w:line="264"/>
        <w:jc w:val="both"/>
      </w:pPr>
      <w:r>
        <w:rPr>
          <w:rFonts w:ascii="맑은 고딕" w:cs="맑은 고딕" w:eastAsia="맑은 고딕" w:hAnsi="맑은 고딕"/>
          <w:sz w:val="20"/>
          <w:szCs w:val="20"/>
        </w:rPr>
        <w:t xml:space="preserve">팀은 원격탐사·공간정보 전공 2명과 HUSS 환경 컨소시엄 인문사회 전공 2명의 융합 구성이다. 기술 축은 위성 전처리·검증 설계·파이프라인 운영을, 인문사회 축은 지자체 적응행정 분석·수요 인터뷰·사업모델과 조달 설계·취약계층 형평성 지표 정의를 담당한다.</w:t>
      </w:r>
    </w:p>
    <w:p>
      <w:pPr>
        <w:spacing w:after="30" w:before="100"/>
        <w:jc w:val="left"/>
      </w:pPr>
      <w:r>
        <w:rPr>
          <w:rFonts w:ascii="맑은 고딕" w:cs="맑은 고딕" w:eastAsia="맑은 고딕" w:hAnsi="맑은 고딕"/>
          <w:b/>
          <w:bCs/>
          <w:color w:val="002060"/>
          <w:sz w:val="18"/>
          <w:szCs w:val="18"/>
        </w:rPr>
        <w:t xml:space="preserve">표 9. 팀 구성과 역할</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6"/>
        <w:gridCol w:w="2777"/>
        <w:gridCol w:w="4582"/>
      </w:tblGrid>
      <w:tr>
        <w:trPr>
          <w:tblHeader/>
        </w:trPr>
        <w:tc>
          <w:tcPr>
            <w:tcW w:type="dxa" w:w="1666"/>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구분</w:t>
            </w:r>
          </w:p>
        </w:tc>
        <w:tc>
          <w:tcPr>
            <w:tcW w:type="dxa" w:w="2777"/>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소속(학교/학과/학년)</w:t>
            </w:r>
          </w:p>
        </w:tc>
        <w:tc>
          <w:tcPr>
            <w:tcW w:type="dxa" w:w="4582"/>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역할</w:t>
            </w:r>
          </w:p>
        </w:tc>
      </w:tr>
      <w:tr>
        <w:tc>
          <w:tcPr>
            <w:tcW w:type="dxa" w:w="1666"/>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하수범(팀장)</w:t>
            </w:r>
          </w:p>
        </w:tc>
        <w:tc>
          <w:tcPr>
            <w:tcW w:type="dxa" w:w="2777"/>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국민대학교 [학과] [학년]</w:t>
            </w:r>
          </w:p>
        </w:tc>
        <w:tc>
          <w:tcPr>
            <w:tcW w:type="dxa" w:w="4582"/>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총괄, 위성 자료 처리(Sentinel-1/2·Landsat), 검증 설계와 파이프라인 구현, 산불·침수 모듈</w:t>
            </w:r>
          </w:p>
        </w:tc>
      </w:tr>
      <w:tr>
        <w:tc>
          <w:tcPr>
            <w:tcW w:type="dxa" w:w="1666"/>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[팀원 2]</w:t>
            </w:r>
          </w:p>
        </w:tc>
        <w:tc>
          <w:tcPr>
            <w:tcW w:type="dxa" w:w="2777"/>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국민대학교 [학과] [학년]</w:t>
            </w:r>
          </w:p>
        </w:tc>
        <w:tc>
          <w:tcPr>
            <w:tcW w:type="dxa" w:w="4582"/>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데이터 결합(건축물대장·SGIS), 형평성 지표, 통계 검정·재현성 매니페스트</w:t>
            </w:r>
          </w:p>
        </w:tc>
      </w:tr>
      <w:tr>
        <w:tc>
          <w:tcPr>
            <w:tcW w:type="dxa" w:w="1666"/>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[팀원 3]</w:t>
            </w:r>
          </w:p>
        </w:tc>
        <w:tc>
          <w:tcPr>
            <w:tcW w:type="dxa" w:w="2777"/>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[HUSS 참여대학] [행정·정책 계열 학과] [학년]</w:t>
            </w:r>
          </w:p>
        </w:tc>
        <w:tc>
          <w:tcPr>
            <w:tcW w:type="dxa" w:w="4582"/>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지자체 적응대책·이행점검 제도 분석, 담당 공무원 수요 인터뷰, 조달 경로 설계</w:t>
            </w:r>
          </w:p>
        </w:tc>
      </w:tr>
      <w:tr>
        <w:tc>
          <w:tcPr>
            <w:tcW w:type="dxa" w:w="1666"/>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[팀원 4]</w:t>
            </w:r>
          </w:p>
        </w:tc>
        <w:tc>
          <w:tcPr>
            <w:tcW w:type="dxa" w:w="2777"/>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[HUSS 참여대학] [경영·사회복지 계열 학과] [학년]</w:t>
            </w:r>
          </w:p>
        </w:tc>
        <w:tc>
          <w:tcPr>
            <w:tcW w:type="dxa" w:w="4582"/>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6"/>
                <w:szCs w:val="16"/>
              </w:rPr>
              <w:t xml:space="preserve">사업모델·가격·시나리오, 취약계층 형평성 기준 정의, 파일럿 지자체·협력기관 섭외</w:t>
            </w:r>
          </w:p>
        </w:tc>
      </w:tr>
    </w:tbl>
    <w:p>
      <w:r>
        <w:br w:type="page"/>
      </w:r>
    </w:p>
    <w:p>
      <w:pPr>
        <w:pStyle w:val="Heading1"/>
        <w:spacing w:after="70" w:before="160"/>
      </w:pPr>
      <w:r>
        <w:rPr>
          <w:rFonts w:ascii="맑은 고딕" w:cs="맑은 고딕" w:eastAsia="맑은 고딕" w:hAnsi="맑은 고딕"/>
          <w:b/>
          <w:bCs/>
          <w:color w:val="F24F4F"/>
          <w:sz w:val="30"/>
          <w:szCs w:val="30"/>
        </w:rPr>
        <w:t xml:space="preserve">참고자료</w:t>
      </w:r>
    </w:p>
    <w:p>
      <w:pPr>
        <w:spacing w:after="40" w:line="252"/>
        <w:ind w:left="360" w:hanging="360"/>
        <w:jc w:val="left"/>
      </w:pPr>
      <w:r>
        <w:rPr>
          <w:rFonts w:ascii="맑은 고딕" w:cs="맑은 고딕" w:eastAsia="맑은 고딕" w:hAnsi="맑은 고딕"/>
          <w:sz w:val="17"/>
          <w:szCs w:val="17"/>
        </w:rPr>
        <w:t xml:space="preserve">[1] </w:t>
      </w:r>
      <w:r>
        <w:rPr>
          <w:rFonts w:ascii="맑은 고딕" w:cs="맑은 고딕" w:eastAsia="맑은 고딕" w:hAnsi="맑은 고딕"/>
          <w:sz w:val="17"/>
          <w:szCs w:val="17"/>
        </w:rPr>
        <w:t xml:space="preserve">중앙재난안전대책본부, 「영남권 산불 피해 복구계획 확정」, 2025-05-02; 산림청 복구·복원 보도자료, 2025~2026.</w:t>
      </w:r>
    </w:p>
    <w:p>
      <w:pPr>
        <w:spacing w:after="40" w:line="252"/>
        <w:ind w:left="360" w:hanging="360"/>
        <w:jc w:val="left"/>
      </w:pPr>
      <w:r>
        <w:rPr>
          <w:rFonts w:ascii="맑은 고딕" w:cs="맑은 고딕" w:eastAsia="맑은 고딕" w:hAnsi="맑은 고딕"/>
          <w:sz w:val="17"/>
          <w:szCs w:val="17"/>
        </w:rPr>
        <w:t xml:space="preserve">[2] </w:t>
      </w:r>
      <w:r>
        <w:rPr>
          <w:rFonts w:ascii="맑은 고딕" w:cs="맑은 고딕" w:eastAsia="맑은 고딕" w:hAnsi="맑은 고딕"/>
          <w:sz w:val="17"/>
          <w:szCs w:val="17"/>
        </w:rPr>
        <w:t xml:space="preserve">행정안전부, 「2025년 7월 집중호우 피해 현황」(2025-07-21 기준 사망 37명·이재민 12,921명·피해액 1조 848억 원).</w:t>
      </w:r>
    </w:p>
    <w:p>
      <w:pPr>
        <w:spacing w:after="40" w:line="252"/>
        <w:ind w:left="360" w:hanging="360"/>
        <w:jc w:val="left"/>
      </w:pPr>
      <w:r>
        <w:rPr>
          <w:rFonts w:ascii="맑은 고딕" w:cs="맑은 고딕" w:eastAsia="맑은 고딕" w:hAnsi="맑은 고딕"/>
          <w:sz w:val="17"/>
          <w:szCs w:val="17"/>
        </w:rPr>
        <w:t xml:space="preserve">[3] </w:t>
      </w:r>
      <w:r>
        <w:rPr>
          <w:rFonts w:ascii="맑은 고딕" w:cs="맑은 고딕" w:eastAsia="맑은 고딕" w:hAnsi="맑은 고딕"/>
          <w:sz w:val="17"/>
          <w:szCs w:val="17"/>
        </w:rPr>
        <w:t xml:space="preserve">질병관리청, 「2025년 온열질환 응급실감시체계 운영 결과」, 2025-10-17; 공공데이터포털 온열질환 사례 데이터(ID 15149889).</w:t>
      </w:r>
    </w:p>
    <w:p>
      <w:pPr>
        <w:spacing w:after="40" w:line="252"/>
        <w:ind w:left="360" w:hanging="360"/>
        <w:jc w:val="left"/>
      </w:pPr>
      <w:r>
        <w:rPr>
          <w:rFonts w:ascii="맑은 고딕" w:cs="맑은 고딕" w:eastAsia="맑은 고딕" w:hAnsi="맑은 고딕"/>
          <w:sz w:val="17"/>
          <w:szCs w:val="17"/>
        </w:rPr>
        <w:t xml:space="preserve">[4] </w:t>
      </w:r>
      <w:r>
        <w:rPr>
          <w:rFonts w:ascii="맑은 고딕" w:cs="맑은 고딕" w:eastAsia="맑은 고딕" w:hAnsi="맑은 고딕"/>
          <w:sz w:val="17"/>
          <w:szCs w:val="17"/>
        </w:rPr>
        <w:t xml:space="preserve">국회예산정책처, 「2024회계연도 결산 분석 — 환경부 기후위기 취약계층·지역 지원사업」, 2025-07-29, pp.121~122; 기후대응기금 분야별 집행 현황.</w:t>
      </w:r>
    </w:p>
    <w:p>
      <w:pPr>
        <w:spacing w:after="40" w:line="252"/>
        <w:ind w:left="360" w:hanging="360"/>
        <w:jc w:val="left"/>
      </w:pPr>
      <w:r>
        <w:rPr>
          <w:rFonts w:ascii="맑은 고딕" w:cs="맑은 고딕" w:eastAsia="맑은 고딕" w:hAnsi="맑은 고딕"/>
          <w:sz w:val="17"/>
          <w:szCs w:val="17"/>
        </w:rPr>
        <w:t xml:space="preserve">[5] </w:t>
      </w:r>
      <w:r>
        <w:rPr>
          <w:rFonts w:ascii="맑은 고딕" w:cs="맑은 고딕" w:eastAsia="맑은 고딕" w:hAnsi="맑은 고딕"/>
          <w:sz w:val="17"/>
          <w:szCs w:val="17"/>
        </w:rPr>
        <w:t xml:space="preserve">대한민국 정책브리핑, 「여름철 폭염·가뭄 대응 재난안전특별교부세 607.5억 원 교부」, 2026-08-11.</w:t>
      </w:r>
    </w:p>
    <w:p>
      <w:pPr>
        <w:spacing w:after="40" w:line="252"/>
        <w:ind w:left="360" w:hanging="360"/>
        <w:jc w:val="left"/>
      </w:pPr>
      <w:r>
        <w:rPr>
          <w:rFonts w:ascii="맑은 고딕" w:cs="맑은 고딕" w:eastAsia="맑은 고딕" w:hAnsi="맑은 고딕"/>
          <w:sz w:val="17"/>
          <w:szCs w:val="17"/>
        </w:rPr>
        <w:t xml:space="preserve">[6] </w:t>
      </w:r>
      <w:r>
        <w:rPr>
          <w:rFonts w:ascii="맑은 고딕" w:cs="맑은 고딕" w:eastAsia="맑은 고딕" w:hAnsi="맑은 고딕"/>
          <w:sz w:val="17"/>
          <w:szCs w:val="17"/>
        </w:rPr>
        <w:t xml:space="preserve">파이낸셜뉴스, 「서울시 2025년 폭염 대책 집행 359.4억 원」, 2026-08-07.</w:t>
      </w:r>
    </w:p>
    <w:p>
      <w:pPr>
        <w:spacing w:after="40" w:line="252"/>
        <w:ind w:left="360" w:hanging="360"/>
        <w:jc w:val="left"/>
      </w:pPr>
      <w:r>
        <w:rPr>
          <w:rFonts w:ascii="맑은 고딕" w:cs="맑은 고딕" w:eastAsia="맑은 고딕" w:hAnsi="맑은 고딕"/>
          <w:sz w:val="17"/>
          <w:szCs w:val="17"/>
        </w:rPr>
        <w:t xml:space="preserve">[7] </w:t>
      </w:r>
      <w:r>
        <w:rPr>
          <w:rFonts w:ascii="맑은 고딕" w:cs="맑은 고딕" w:eastAsia="맑은 고딕" w:hAnsi="맑은 고딕"/>
          <w:sz w:val="17"/>
          <w:szCs w:val="17"/>
        </w:rPr>
        <w:t xml:space="preserve">서울신문, 「서울시 2026년 쿨루프 지원사업 29억 원·330곳」, 2026-08-18; 경향신문, 「쿨루프 시공 단가 3.5만~6만 원/㎡」, 2025-08-11.</w:t>
      </w:r>
    </w:p>
    <w:p>
      <w:pPr>
        <w:spacing w:after="40" w:line="252"/>
        <w:ind w:left="360" w:hanging="360"/>
        <w:jc w:val="left"/>
      </w:pPr>
      <w:r>
        <w:rPr>
          <w:rFonts w:ascii="맑은 고딕" w:cs="맑은 고딕" w:eastAsia="맑은 고딕" w:hAnsi="맑은 고딕"/>
          <w:sz w:val="17"/>
          <w:szCs w:val="17"/>
        </w:rPr>
        <w:t xml:space="preserve">[8] </w:t>
      </w:r>
      <w:r>
        <w:rPr>
          <w:rFonts w:ascii="맑은 고딕" w:cs="맑은 고딕" w:eastAsia="맑은 고딕" w:hAnsi="맑은 고딕"/>
          <w:sz w:val="17"/>
          <w:szCs w:val="17"/>
        </w:rPr>
        <w:t xml:space="preserve">국회 농림축산식품해양수산위원회 국정감사 자료, 「2025년 산불 피해지 복구 실적」, 2025-10.</w:t>
      </w:r>
    </w:p>
    <w:p>
      <w:pPr>
        <w:spacing w:after="40" w:line="252"/>
        <w:ind w:left="360" w:hanging="360"/>
        <w:jc w:val="left"/>
      </w:pPr>
      <w:r>
        <w:rPr>
          <w:rFonts w:ascii="맑은 고딕" w:cs="맑은 고딕" w:eastAsia="맑은 고딕" w:hAnsi="맑은 고딕"/>
          <w:sz w:val="17"/>
          <w:szCs w:val="17"/>
        </w:rPr>
        <w:t xml:space="preserve">[9] </w:t>
      </w:r>
      <w:r>
        <w:rPr>
          <w:rFonts w:ascii="맑은 고딕" w:cs="맑은 고딕" w:eastAsia="맑은 고딕" w:hAnsi="맑은 고딕"/>
          <w:sz w:val="17"/>
          <w:szCs w:val="17"/>
        </w:rPr>
        <w:t xml:space="preserve">산림청, 「동해안·영남권 산불 피해지 복원 기본계획」, 2026-04(계획복원 15,600 ha·자연복원 85%).</w:t>
      </w:r>
    </w:p>
    <w:p>
      <w:pPr>
        <w:spacing w:after="40" w:line="252"/>
        <w:ind w:left="360" w:hanging="360"/>
        <w:jc w:val="left"/>
      </w:pPr>
      <w:r>
        <w:rPr>
          <w:rFonts w:ascii="맑은 고딕" w:cs="맑은 고딕" w:eastAsia="맑은 고딕" w:hAnsi="맑은 고딕"/>
          <w:sz w:val="17"/>
          <w:szCs w:val="17"/>
        </w:rPr>
        <w:t xml:space="preserve">[10] </w:t>
      </w:r>
      <w:r>
        <w:rPr>
          <w:rFonts w:ascii="맑은 고딕" w:cs="맑은 고딕" w:eastAsia="맑은 고딕" w:hAnsi="맑은 고딕"/>
          <w:sz w:val="17"/>
          <w:szCs w:val="17"/>
        </w:rPr>
        <w:t xml:space="preserve">환경부, 「지방 기후위기 적응대책 수립 및 이행점검 지침」, 2024-10-23; 「기후위기 대응을 위한 탄소중립·녹색성장 기본법」 제40·41조, 시행령 제43·44조; 기후에너지환경부, 「공공기관 기후위기 적응대책 수립·이행 지침」, 2026-01-06.</w:t>
      </w:r>
    </w:p>
    <w:p>
      <w:pPr>
        <w:spacing w:after="40" w:line="252"/>
        <w:ind w:left="360" w:hanging="360"/>
        <w:jc w:val="left"/>
      </w:pPr>
      <w:r>
        <w:rPr>
          <w:rFonts w:ascii="맑은 고딕" w:cs="맑은 고딕" w:eastAsia="맑은 고딕" w:hAnsi="맑은 고딕"/>
          <w:sz w:val="17"/>
          <w:szCs w:val="17"/>
        </w:rPr>
        <w:t xml:space="preserve">[11] </w:t>
      </w:r>
      <w:r>
        <w:rPr>
          <w:rFonts w:ascii="맑은 고딕" w:cs="맑은 고딕" w:eastAsia="맑은 고딕" w:hAnsi="맑은 고딕"/>
          <w:sz w:val="17"/>
          <w:szCs w:val="17"/>
        </w:rPr>
        <w:t xml:space="preserve">나라장터 공고: 무주군 제3차 기후변화 적응대책 수립 용역(2025-03, 5,000만 원), 도봉구(2025-05, 5,500만 원), 정읍시(2020, 6,970만 원); 기장군 등 쿨루프 지원사업 공고(선착순 접수).</w:t>
      </w:r>
    </w:p>
    <w:p>
      <w:pPr>
        <w:spacing w:after="40" w:line="252"/>
        <w:ind w:left="360" w:hanging="360"/>
        <w:jc w:val="left"/>
      </w:pPr>
      <w:r>
        <w:rPr>
          <w:rFonts w:ascii="맑은 고딕" w:cs="맑은 고딕" w:eastAsia="맑은 고딕" w:hAnsi="맑은 고딕"/>
          <w:sz w:val="17"/>
          <w:szCs w:val="17"/>
        </w:rPr>
        <w:t xml:space="preserve">[12] </w:t>
      </w:r>
      <w:r>
        <w:rPr>
          <w:rFonts w:ascii="맑은 고딕" w:cs="맑은 고딕" w:eastAsia="맑은 고딕" w:hAnsi="맑은 고딕"/>
          <w:sz w:val="17"/>
          <w:szCs w:val="17"/>
        </w:rPr>
        <w:t xml:space="preserve">조달청·디지털서비스 이용지원시스템, 「2025년 디지털서비스 전문계약 실적」(565건·1,536억 원, SaaS 216건·106억 원), 2025-12.</w:t>
      </w:r>
    </w:p>
    <w:p>
      <w:pPr>
        <w:spacing w:after="40" w:line="252"/>
        <w:ind w:left="360" w:hanging="360"/>
        <w:jc w:val="left"/>
      </w:pPr>
      <w:r>
        <w:rPr>
          <w:rFonts w:ascii="맑은 고딕" w:cs="맑은 고딕" w:eastAsia="맑은 고딕" w:hAnsi="맑은 고딕"/>
          <w:sz w:val="17"/>
          <w:szCs w:val="17"/>
        </w:rPr>
        <w:t xml:space="preserve">[13] </w:t>
      </w:r>
      <w:r>
        <w:rPr>
          <w:rFonts w:ascii="맑은 고딕" w:cs="맑은 고딕" w:eastAsia="맑은 고딕" w:hAnsi="맑은 고딕"/>
          <w:sz w:val="17"/>
          <w:szCs w:val="17"/>
        </w:rPr>
        <w:t xml:space="preserve">금융위원회, 「국내 지속가능성 공시 로드맵 최종안」, 2026-07-08; 한국지속가능성기준위원회(KSSB) 제1호·제2호(2026-02-26 의결); IFRS S2 Climate-related Disclosures, para. 29(c).</w:t>
      </w:r>
    </w:p>
    <w:p>
      <w:pPr>
        <w:spacing w:after="40" w:line="252"/>
        <w:ind w:left="360" w:hanging="360"/>
        <w:jc w:val="left"/>
      </w:pPr>
      <w:r>
        <w:rPr>
          <w:rFonts w:ascii="맑은 고딕" w:cs="맑은 고딕" w:eastAsia="맑은 고딕" w:hAnsi="맑은 고딕"/>
          <w:sz w:val="17"/>
          <w:szCs w:val="17"/>
        </w:rPr>
        <w:t xml:space="preserve">[14] </w:t>
      </w:r>
      <w:r>
        <w:rPr>
          <w:rFonts w:ascii="맑은 고딕" w:cs="맑은 고딕" w:eastAsia="맑은 고딕" w:hAnsi="맑은 고딕"/>
          <w:sz w:val="17"/>
          <w:szCs w:val="17"/>
        </w:rPr>
        <w:t xml:space="preserve">임팩트온, 「지속가능성 공시 1차 대상 99개사 물리적 위험 공시 전수 분석」, 2026-08-14.</w:t>
      </w:r>
    </w:p>
    <w:p>
      <w:pPr>
        <w:spacing w:after="40" w:line="252"/>
        <w:ind w:left="360" w:hanging="360"/>
        <w:jc w:val="left"/>
      </w:pPr>
      <w:r>
        <w:rPr>
          <w:rFonts w:ascii="맑은 고딕" w:cs="맑은 고딕" w:eastAsia="맑은 고딕" w:hAnsi="맑은 고딕"/>
          <w:sz w:val="17"/>
          <w:szCs w:val="17"/>
        </w:rPr>
        <w:t xml:space="preserve">[15] </w:t>
      </w:r>
      <w:r>
        <w:rPr>
          <w:rFonts w:ascii="맑은 고딕" w:cs="맑은 고딕" w:eastAsia="맑은 고딕" w:hAnsi="맑은 고딕"/>
          <w:sz w:val="17"/>
          <w:szCs w:val="17"/>
        </w:rPr>
        <w:t xml:space="preserve">서울경제, 「상장사 ESG 외부비용 평균 1억 3,400만 원」, 2023-02-12.</w:t>
      </w:r>
    </w:p>
    <w:p>
      <w:pPr>
        <w:spacing w:after="40" w:line="252"/>
        <w:ind w:left="360" w:hanging="360"/>
        <w:jc w:val="left"/>
      </w:pPr>
      <w:r>
        <w:rPr>
          <w:rFonts w:ascii="맑은 고딕" w:cs="맑은 고딕" w:eastAsia="맑은 고딕" w:hAnsi="맑은 고딕"/>
          <w:sz w:val="17"/>
          <w:szCs w:val="17"/>
        </w:rPr>
        <w:t xml:space="preserve">[16] </w:t>
      </w:r>
      <w:r>
        <w:rPr>
          <w:rFonts w:ascii="맑은 고딕" w:cs="맑은 고딕" w:eastAsia="맑은 고딕" w:hAnsi="맑은 고딕"/>
          <w:sz w:val="17"/>
          <w:szCs w:val="17"/>
        </w:rPr>
        <w:t xml:space="preserve">국립환경과학원 기후변화 취약성 평가도구(VESTAP); 기상청 기후변화 상황지도(2025-12); 국토교통부 「폭염 취약계층 및 지원 우선 지역 분석」(공공데이터포털 15147787, 2025-08); 경기연구원·경기기후플랫폼 열환경 지도(2026-07); 국립재난안전연구원 서울 100 m 폭염 취약성 지도(2026-08).</w:t>
      </w:r>
    </w:p>
    <w:p>
      <w:pPr>
        <w:spacing w:after="40" w:line="252"/>
        <w:ind w:left="360" w:hanging="360"/>
        <w:jc w:val="left"/>
      </w:pPr>
      <w:r>
        <w:rPr>
          <w:rFonts w:ascii="맑은 고딕" w:cs="맑은 고딕" w:eastAsia="맑은 고딕" w:hAnsi="맑은 고딕"/>
          <w:sz w:val="17"/>
          <w:szCs w:val="17"/>
        </w:rPr>
        <w:t xml:space="preserve">[17] </w:t>
      </w:r>
      <w:r>
        <w:rPr>
          <w:rFonts w:ascii="맑은 고딕" w:cs="맑은 고딕" w:eastAsia="맑은 고딕" w:hAnsi="맑은 고딕"/>
          <w:sz w:val="17"/>
          <w:szCs w:val="17"/>
        </w:rPr>
        <w:t xml:space="preserve">Climate X Spectra Lite, AWS Marketplace 가격표(250자산 연 20,000달러); SmartResilience, 「Climate risk management software compared 2026」, 2026-09-28; 케이웨더 CRMaaS 소개(2025-03).</w:t>
      </w:r>
    </w:p>
    <w:p>
      <w:pPr>
        <w:spacing w:after="40" w:line="252"/>
        <w:ind w:left="360" w:hanging="360"/>
        <w:jc w:val="left"/>
      </w:pPr>
      <w:r>
        <w:rPr>
          <w:rFonts w:ascii="맑은 고딕" w:cs="맑은 고딕" w:eastAsia="맑은 고딕" w:hAnsi="맑은 고딕"/>
          <w:sz w:val="17"/>
          <w:szCs w:val="17"/>
        </w:rPr>
        <w:t xml:space="preserve">[18] </w:t>
      </w:r>
      <w:r>
        <w:rPr>
          <w:rFonts w:ascii="맑은 고딕" w:cs="맑은 고딕" w:eastAsia="맑은 고딕" w:hAnsi="맑은 고딕"/>
          <w:sz w:val="17"/>
          <w:szCs w:val="17"/>
        </w:rPr>
        <w:t xml:space="preserve">Key, C. H., &amp; Benson, N. C. (2006). Landscape Assessment: Ground measure of severity, the Composite Burn Index; and remote sensing of severity, the Normalized Burn Ratio. USDA Forest Service RMRS-GTR-164-CD.</w:t>
      </w:r>
    </w:p>
    <w:p>
      <w:pPr>
        <w:spacing w:after="40" w:line="252"/>
        <w:ind w:left="360" w:hanging="360"/>
        <w:jc w:val="left"/>
      </w:pPr>
      <w:r>
        <w:rPr>
          <w:rFonts w:ascii="맑은 고딕" w:cs="맑은 고딕" w:eastAsia="맑은 고딕" w:hAnsi="맑은 고딕"/>
          <w:sz w:val="17"/>
          <w:szCs w:val="17"/>
        </w:rPr>
        <w:t xml:space="preserve">[19] </w:t>
      </w:r>
      <w:r>
        <w:rPr>
          <w:rFonts w:ascii="맑은 고딕" w:cs="맑은 고딕" w:eastAsia="맑은 고딕" w:hAnsi="맑은 고딕"/>
          <w:sz w:val="17"/>
          <w:szCs w:val="17"/>
        </w:rPr>
        <w:t xml:space="preserve">Olofsson, P., et al. (2014). Good practices for estimating area and assessing accuracy of land change. Remote Sensing of Environment, 148, 42–57.</w:t>
      </w:r>
    </w:p>
    <w:p>
      <w:pPr>
        <w:spacing w:after="40" w:line="252"/>
        <w:ind w:left="360" w:hanging="360"/>
        <w:jc w:val="left"/>
      </w:pPr>
      <w:r>
        <w:rPr>
          <w:rFonts w:ascii="맑은 고딕" w:cs="맑은 고딕" w:eastAsia="맑은 고딕" w:hAnsi="맑은 고딕"/>
          <w:sz w:val="17"/>
          <w:szCs w:val="17"/>
        </w:rPr>
        <w:t xml:space="preserve">[20] </w:t>
      </w:r>
      <w:r>
        <w:rPr>
          <w:rFonts w:ascii="맑은 고딕" w:cs="맑은 고딕" w:eastAsia="맑은 고딕" w:hAnsi="맑은 고딕"/>
          <w:sz w:val="17"/>
          <w:szCs w:val="17"/>
        </w:rPr>
        <w:t xml:space="preserve">Harlan, S. L., et al. (2013). Neighborhood effects on heat deaths: social and environmental predictors of vulnerability in Maricopa County, Arizona. Environmental Health Perspectives, 121(2), 197–204.</w:t>
      </w:r>
    </w:p>
    <w:p>
      <w:pPr>
        <w:spacing w:after="40" w:line="252"/>
        <w:ind w:left="360" w:hanging="360"/>
        <w:jc w:val="left"/>
      </w:pPr>
      <w:r>
        <w:rPr>
          <w:rFonts w:ascii="맑은 고딕" w:cs="맑은 고딕" w:eastAsia="맑은 고딕" w:hAnsi="맑은 고딕"/>
          <w:sz w:val="17"/>
          <w:szCs w:val="17"/>
        </w:rPr>
        <w:t xml:space="preserve">[21] </w:t>
      </w:r>
      <w:r>
        <w:rPr>
          <w:rFonts w:ascii="맑은 고딕" w:cs="맑은 고딕" w:eastAsia="맑은 고딕" w:hAnsi="맑은 고딕"/>
          <w:sz w:val="17"/>
          <w:szCs w:val="17"/>
        </w:rPr>
        <w:t xml:space="preserve">배동욱 외 (2025). 폭염의 경제적 피해와 저감 수단의 비용편익 분석. 기후변화연구, 16(3-1); 이현경 외 (2020). 쿨루프 사업의 비용편익 분석. 국토계획, 55(5).</w:t>
      </w:r>
    </w:p>
    <w:p>
      <w:pPr>
        <w:spacing w:after="40" w:line="252"/>
        <w:ind w:left="360" w:hanging="360"/>
        <w:jc w:val="left"/>
      </w:pPr>
      <w:r>
        <w:rPr>
          <w:rFonts w:ascii="맑은 고딕" w:cs="맑은 고딕" w:eastAsia="맑은 고딕" w:hAnsi="맑은 고딕"/>
          <w:sz w:val="17"/>
          <w:szCs w:val="17"/>
        </w:rPr>
        <w:t xml:space="preserve">[22] </w:t>
      </w:r>
      <w:r>
        <w:rPr>
          <w:rFonts w:ascii="맑은 고딕" w:cs="맑은 고딕" w:eastAsia="맑은 고딕" w:hAnsi="맑은 고딕"/>
          <w:sz w:val="17"/>
          <w:szCs w:val="17"/>
        </w:rPr>
        <w:t xml:space="preserve">서울주택도시공사(SH), 「가양8단지 쿨루프 실증 결과: 옥상 표면 −9.2℃, 냉방에너지 평균 −26.4%」, 2025; 서울시 「2026년 쿨루프 특화지구 사업」, 2026-05.</w:t>
      </w:r>
    </w:p>
    <w:p>
      <w:pPr>
        <w:spacing w:after="40" w:line="252"/>
        <w:ind w:left="360" w:hanging="360"/>
        <w:jc w:val="left"/>
      </w:pPr>
      <w:r>
        <w:rPr>
          <w:rFonts w:ascii="맑은 고딕" w:cs="맑은 고딕" w:eastAsia="맑은 고딕" w:hAnsi="맑은 고딕"/>
          <w:sz w:val="17"/>
          <w:szCs w:val="17"/>
        </w:rPr>
        <w:t xml:space="preserve">[23] </w:t>
      </w:r>
      <w:r>
        <w:rPr>
          <w:rFonts w:ascii="맑은 고딕" w:cs="맑은 고딕" w:eastAsia="맑은 고딕" w:hAnsi="맑은 고딕"/>
          <w:sz w:val="17"/>
          <w:szCs w:val="17"/>
        </w:rPr>
        <w:t xml:space="preserve">European Space Agency, Sentinel-2 MSI Level-2A Product Definition(Processing Baseline 04.00 이후 BOA_ADD_OFFSET 적용); USGS, Landsat Collection 2 Level-2 Science Products Guide.</w:t>
      </w:r>
    </w:p>
    <w:p>
      <w:pPr>
        <w:spacing w:after="40" w:line="252"/>
        <w:ind w:left="360" w:hanging="360"/>
        <w:jc w:val="left"/>
      </w:pPr>
      <w:r>
        <w:rPr>
          <w:rFonts w:ascii="맑은 고딕" w:cs="맑은 고딕" w:eastAsia="맑은 고딕" w:hAnsi="맑은 고딕"/>
          <w:sz w:val="17"/>
          <w:szCs w:val="17"/>
        </w:rPr>
        <w:t xml:space="preserve">[24] </w:t>
      </w:r>
      <w:r>
        <w:rPr>
          <w:rFonts w:ascii="맑은 고딕" w:cs="맑은 고딕" w:eastAsia="맑은 고딕" w:hAnsi="맑은 고딕"/>
          <w:sz w:val="17"/>
          <w:szCs w:val="17"/>
        </w:rPr>
        <w:t xml:space="preserve">Microsoft Planetary Computer STAC API(sentinel-2-l2a, landsat-c2-l2 컬렉션), 접근일 2026-10-06; 그림 3 처리 매니페스트(장면 ID·처리 기준선·유효 화소율)는 figures/fig_fire_recovery.manifest.json에 수록.</w:t>
      </w:r>
    </w:p>
    <w:p>
      <w:pPr>
        <w:spacing w:after="40" w:line="252"/>
        <w:ind w:left="360" w:hanging="360"/>
        <w:jc w:val="left"/>
      </w:pPr>
      <w:r>
        <w:rPr>
          <w:rFonts w:ascii="맑은 고딕" w:cs="맑은 고딕" w:eastAsia="맑은 고딕" w:hAnsi="맑은 고딕"/>
          <w:sz w:val="17"/>
          <w:szCs w:val="17"/>
        </w:rPr>
        <w:t xml:space="preserve">[25] </w:t>
      </w:r>
      <w:r>
        <w:rPr>
          <w:rFonts w:ascii="맑은 고딕" w:cs="맑은 고딕" w:eastAsia="맑은 고딕" w:hAnsi="맑은 고딕"/>
          <w:sz w:val="17"/>
          <w:szCs w:val="17"/>
        </w:rPr>
        <w:t xml:space="preserve">통계청 SGIS 오픈API(격자·집계구 인구통계); 국토교통부 건축물대장 표제부(공공데이터포털); 행정안전부 재난안전데이터 공유플랫폼; 환경부 환경 빅데이터 플랫폼; 기상청 종합 기후변화감시정보.</w:t>
      </w:r>
    </w:p>
    <w:p>
      <w:pPr>
        <w:spacing w:after="40" w:line="252"/>
        <w:ind w:left="360" w:hanging="360"/>
        <w:jc w:val="left"/>
      </w:pPr>
      <w:r>
        <w:rPr>
          <w:rFonts w:ascii="맑은 고딕" w:cs="맑은 고딕" w:eastAsia="맑은 고딕" w:hAnsi="맑은 고딕"/>
          <w:sz w:val="17"/>
          <w:szCs w:val="17"/>
        </w:rPr>
        <w:t xml:space="preserve">[26] </w:t>
      </w:r>
      <w:r>
        <w:rPr>
          <w:rFonts w:ascii="맑은 고딕" w:cs="맑은 고딕" w:eastAsia="맑은 고딕" w:hAnsi="맑은 고딕"/>
          <w:sz w:val="17"/>
          <w:szCs w:val="17"/>
        </w:rPr>
        <w:t xml:space="preserve">적응 영수증 프로토타입 소스 코드 및 배포본: https://github.com/tradeprogram/Adaptation_receipt ; https://adaptation-receipt-two.vercel.app (접근일 2026-10-12).</w:t>
      </w:r>
    </w:p>
    <w:p>
      <w:pPr>
        <w:spacing w:after="40" w:before="160"/>
      </w:pPr>
      <w:r>
        <w:rPr>
          <w:rFonts w:ascii="맑은 고딕" w:cs="맑은 고딕" w:eastAsia="맑은 고딕" w:hAnsi="맑은 고딕"/>
          <w:b/>
          <w:bCs/>
          <w:color w:val="002060"/>
          <w:sz w:val="18"/>
          <w:szCs w:val="18"/>
        </w:rPr>
        <w:t xml:space="preserve">부록 A. 그림 3 처리 매니페스트 요약</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6"/>
        <w:gridCol w:w="3472"/>
        <w:gridCol w:w="1273"/>
        <w:gridCol w:w="1273"/>
        <w:gridCol w:w="1273"/>
      </w:tblGrid>
      <w:tr>
        <w:trPr>
          <w:tblHeader/>
        </w:trPr>
        <w:tc>
          <w:tcPr>
            <w:tcW w:type="dxa" w:w="1736"/>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관측일</w:t>
            </w:r>
          </w:p>
        </w:tc>
        <w:tc>
          <w:tcPr>
            <w:tcW w:type="dxa" w:w="3472"/>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장면 ID</w:t>
            </w:r>
          </w:p>
        </w:tc>
        <w:tc>
          <w:tcPr>
            <w:tcW w:type="dxa" w:w="1273"/>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처리 기준선</w:t>
            </w:r>
          </w:p>
        </w:tc>
        <w:tc>
          <w:tcPr>
            <w:tcW w:type="dxa" w:w="1273"/>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구름(%)</w:t>
            </w:r>
          </w:p>
        </w:tc>
        <w:tc>
          <w:tcPr>
            <w:tcW w:type="dxa" w:w="1273"/>
            <w:tcBorders>
              <w:top w:val="single" w:color="BFBFBF" w:sz="4"/>
              <w:left w:val="single" w:color="BFBFBF" w:sz="4"/>
              <w:bottom w:val="single" w:color="BFBFBF" w:sz="4"/>
              <w:right w:val="single" w:color="BFBFBF" w:sz="4"/>
            </w:tcBorders>
            <w:shd w:fill="002060" w:color="auto" w:val="clear"/>
            <w:tcMar>
              <w:top w:type="dxa" w:w="25"/>
              <w:left w:type="dxa" w:w="70"/>
              <w:bottom w:type="dxa" w:w="25"/>
              <w:right w:type="dxa" w:w="70"/>
            </w:tcMar>
            <w:vAlign w:val="center"/>
          </w:tcPr>
          <w:p>
            <w:pPr>
              <w:spacing w:after="0" w:line="240"/>
              <w:jc w:val="center"/>
            </w:pPr>
            <w:r>
              <w:rPr>
                <w:rFonts w:ascii="맑은 고딕" w:cs="맑은 고딕" w:eastAsia="맑은 고딕" w:hAnsi="맑은 고딕"/>
                <w:b/>
                <w:bCs/>
                <w:color w:val="FFFFFF"/>
                <w:sz w:val="17"/>
                <w:szCs w:val="17"/>
              </w:rPr>
              <w:t xml:space="preserve">유효 화소(%)</w:t>
            </w:r>
          </w:p>
        </w:tc>
      </w:tr>
      <w:tr>
        <w:tc>
          <w:tcPr>
            <w:tcW w:type="dxa" w:w="1736"/>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5"/>
                <w:szCs w:val="15"/>
              </w:rPr>
              <w:t xml:space="preserve">2025-03-14</w:t>
            </w:r>
          </w:p>
        </w:tc>
        <w:tc>
          <w:tcPr>
            <w:tcW w:type="dxa" w:w="3472"/>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5"/>
                <w:szCs w:val="15"/>
              </w:rPr>
              <w:t xml:space="preserve">S2B_MSIL2A_20250314T020659_R103_T52SDF</w:t>
            </w:r>
          </w:p>
        </w:tc>
        <w:tc>
          <w:tcPr>
            <w:tcW w:type="dxa" w:w="1273"/>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5"/>
                <w:szCs w:val="15"/>
              </w:rPr>
              <w:t xml:space="preserve">05.11</w:t>
            </w:r>
          </w:p>
        </w:tc>
        <w:tc>
          <w:tcPr>
            <w:tcW w:type="dxa" w:w="1273"/>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5"/>
                <w:szCs w:val="15"/>
              </w:rPr>
              <w:t xml:space="preserve">0.1</w:t>
            </w:r>
          </w:p>
        </w:tc>
        <w:tc>
          <w:tcPr>
            <w:tcW w:type="dxa" w:w="1273"/>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5"/>
                <w:szCs w:val="15"/>
              </w:rPr>
              <w:t xml:space="preserve">97.4</w:t>
            </w:r>
          </w:p>
        </w:tc>
      </w:tr>
      <w:tr>
        <w:tc>
          <w:tcPr>
            <w:tcW w:type="dxa" w:w="1736"/>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5"/>
                <w:szCs w:val="15"/>
              </w:rPr>
              <w:t xml:space="preserve">2025-04-08</w:t>
            </w:r>
          </w:p>
        </w:tc>
        <w:tc>
          <w:tcPr>
            <w:tcW w:type="dxa" w:w="3472"/>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5"/>
                <w:szCs w:val="15"/>
              </w:rPr>
              <w:t xml:space="preserve">S2C_MSIL2A_20250408T020711_R103_T52SDF</w:t>
            </w:r>
          </w:p>
        </w:tc>
        <w:tc>
          <w:tcPr>
            <w:tcW w:type="dxa" w:w="1273"/>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5"/>
                <w:szCs w:val="15"/>
              </w:rPr>
              <w:t xml:space="preserve">05.11</w:t>
            </w:r>
          </w:p>
        </w:tc>
        <w:tc>
          <w:tcPr>
            <w:tcW w:type="dxa" w:w="1273"/>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5"/>
                <w:szCs w:val="15"/>
              </w:rPr>
              <w:t xml:space="preserve">4.3</w:t>
            </w:r>
          </w:p>
        </w:tc>
        <w:tc>
          <w:tcPr>
            <w:tcW w:type="dxa" w:w="1273"/>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5"/>
                <w:szCs w:val="15"/>
              </w:rPr>
              <w:t xml:space="preserve">95.4</w:t>
            </w:r>
          </w:p>
        </w:tc>
      </w:tr>
      <w:tr>
        <w:tc>
          <w:tcPr>
            <w:tcW w:type="dxa" w:w="1736"/>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5"/>
                <w:szCs w:val="15"/>
              </w:rPr>
              <w:t xml:space="preserve">2025-07-09</w:t>
            </w:r>
          </w:p>
        </w:tc>
        <w:tc>
          <w:tcPr>
            <w:tcW w:type="dxa" w:w="3472"/>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5"/>
                <w:szCs w:val="15"/>
              </w:rPr>
              <w:t xml:space="preserve">S2A_MSIL2A_20250709T021131_R103_T52SDF</w:t>
            </w:r>
          </w:p>
        </w:tc>
        <w:tc>
          <w:tcPr>
            <w:tcW w:type="dxa" w:w="1273"/>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5"/>
                <w:szCs w:val="15"/>
              </w:rPr>
              <w:t xml:space="preserve">05.11</w:t>
            </w:r>
          </w:p>
        </w:tc>
        <w:tc>
          <w:tcPr>
            <w:tcW w:type="dxa" w:w="1273"/>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5"/>
                <w:szCs w:val="15"/>
              </w:rPr>
              <w:t xml:space="preserve">1.9</w:t>
            </w:r>
          </w:p>
        </w:tc>
        <w:tc>
          <w:tcPr>
            <w:tcW w:type="dxa" w:w="1273"/>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5"/>
                <w:szCs w:val="15"/>
              </w:rPr>
              <w:t xml:space="preserve">99.8</w:t>
            </w:r>
          </w:p>
        </w:tc>
      </w:tr>
      <w:tr>
        <w:tc>
          <w:tcPr>
            <w:tcW w:type="dxa" w:w="1736"/>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5"/>
                <w:szCs w:val="15"/>
              </w:rPr>
              <w:t xml:space="preserve">2026-06-12</w:t>
            </w:r>
          </w:p>
        </w:tc>
        <w:tc>
          <w:tcPr>
            <w:tcW w:type="dxa" w:w="3472"/>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5"/>
                <w:szCs w:val="15"/>
              </w:rPr>
              <w:t xml:space="preserve">S2C_MSIL2A_20260612T020651_R103_T52SDF</w:t>
            </w:r>
          </w:p>
        </w:tc>
        <w:tc>
          <w:tcPr>
            <w:tcW w:type="dxa" w:w="1273"/>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5"/>
                <w:szCs w:val="15"/>
              </w:rPr>
              <w:t xml:space="preserve">05.12</w:t>
            </w:r>
          </w:p>
        </w:tc>
        <w:tc>
          <w:tcPr>
            <w:tcW w:type="dxa" w:w="1273"/>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5"/>
                <w:szCs w:val="15"/>
              </w:rPr>
              <w:t xml:space="preserve">0.7</w:t>
            </w:r>
          </w:p>
        </w:tc>
        <w:tc>
          <w:tcPr>
            <w:tcW w:type="dxa" w:w="1273"/>
            <w:tcBorders>
              <w:top w:val="single" w:color="BFBFBF" w:sz="4"/>
              <w:left w:val="single" w:color="BFBFBF" w:sz="4"/>
              <w:bottom w:val="single" w:color="BFBFBF" w:sz="4"/>
              <w:right w:val="single" w:color="BFBFBF" w:sz="4"/>
            </w:tcBorders>
            <w:shd w:fill="F5F7FA" w:color="auto" w:val="clear"/>
            <w:tcMar>
              <w:top w:type="dxa" w:w="25"/>
              <w:left w:type="dxa" w:w="70"/>
              <w:bottom w:type="dxa" w:w="25"/>
              <w:right w:type="dxa" w:w="70"/>
            </w:tcMar>
            <w:vAlign w:val="center"/>
          </w:tcPr>
          <w:p>
            <w:pPr>
              <w:spacing w:after="0" w:line="240"/>
              <w:jc w:val="left"/>
            </w:pPr>
            <w:r>
              <w:rPr>
                <w:rFonts w:ascii="맑은 고딕" w:cs="맑은 고딕" w:eastAsia="맑은 고딕" w:hAnsi="맑은 고딕"/>
                <w:sz w:val="15"/>
                <w:szCs w:val="15"/>
              </w:rPr>
              <w:t xml:space="preserve">99.8</w:t>
            </w:r>
          </w:p>
        </w:tc>
      </w:tr>
      <w:tr>
        <w:tc>
          <w:tcPr>
            <w:tcW w:type="dxa" w:w="1736"/>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5"/>
                <w:szCs w:val="15"/>
              </w:rPr>
              <w:t xml:space="preserve">2026-10-02</w:t>
            </w:r>
          </w:p>
        </w:tc>
        <w:tc>
          <w:tcPr>
            <w:tcW w:type="dxa" w:w="3472"/>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5"/>
                <w:szCs w:val="15"/>
              </w:rPr>
              <w:t xml:space="preserve">S2A_MSIL2A_20261002T021121_R103_T52SDF</w:t>
            </w:r>
          </w:p>
        </w:tc>
        <w:tc>
          <w:tcPr>
            <w:tcW w:type="dxa" w:w="1273"/>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5"/>
                <w:szCs w:val="15"/>
              </w:rPr>
              <w:t xml:space="preserve">05.13</w:t>
            </w:r>
          </w:p>
        </w:tc>
        <w:tc>
          <w:tcPr>
            <w:tcW w:type="dxa" w:w="1273"/>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5"/>
                <w:szCs w:val="15"/>
              </w:rPr>
              <w:t xml:space="preserve">1.2</w:t>
            </w:r>
          </w:p>
        </w:tc>
        <w:tc>
          <w:tcPr>
            <w:tcW w:type="dxa" w:w="1273"/>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spacing w:after="0" w:line="240"/>
              <w:jc w:val="left"/>
            </w:pPr>
            <w:r>
              <w:rPr>
                <w:rFonts w:ascii="맑은 고딕" w:cs="맑은 고딕" w:eastAsia="맑은 고딕" w:hAnsi="맑은 고딕"/>
                <w:sz w:val="15"/>
                <w:szCs w:val="15"/>
              </w:rPr>
              <w:t xml:space="preserve">99.8</w:t>
            </w:r>
          </w:p>
        </w:tc>
      </w:tr>
    </w:tbl>
    <w:p>
      <w:pPr>
        <w:spacing w:after="0" w:before="0" w:line="264"/>
        <w:jc w:val="both"/>
      </w:pPr>
      <w:r>
        <w:rPr>
          <w:rFonts w:ascii="맑은 고딕" w:cs="맑은 고딕" w:eastAsia="맑은 고딕" w:hAnsi="맑은 고딕"/>
          <w:sz w:val="16"/>
          <w:szCs w:val="16"/>
        </w:rPr>
        <w:t xml:space="preserve">처리 조건: EPSG:32652, 40 m 재표집(평균), SCL 0·1·3·8·9·10·11 마스킹, reflectance = (DN − 1000)/10000, dNBR = NBR(산불 전) − NBR(진화 직후), 피해지 = dNBR &gt; 0.27 ∧ 산불 전 NDVI &gt; 0.30, 대조지 = |dNBR| &lt; 0.05 ∧ 산불 전 NDVI &gt; 0.30. 궤도 가장자리와 타일 경계 밖은 분석에서 제외했다.</w:t>
      </w:r>
    </w:p>
    <w:sectPr>
      <w:pgSz w:w="11906" w:h="16838" w:orient="portrait"/>
      <w:pgMar w:top="850" w:right="1440" w:bottom="600" w:left="1440" w:header="510"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FCDBDB" w:sz="8" w:space="1"/>
      </w:pBdr>
      <w:spacing w:after="120" w:before="240"/>
      <w:outlineLvl w:val="0"/>
    </w:pPr>
    <w:rPr>
      <w:rFonts w:ascii="맑은 고딕" w:cs="맑은 고딕" w:eastAsia="맑은 고딕" w:hAnsi="맑은 고딕"/>
      <w:b/>
      <w:bCs/>
      <w:color w:val="F24F4F"/>
      <w:sz w:val="30"/>
      <w:szCs w:val="30"/>
    </w:rPr>
  </w:style>
  <w:style w:type="paragraph" w:styleId="Heading2">
    <w:name w:val="Heading 2"/>
    <w:basedOn w:val="Normal"/>
    <w:next w:val="Normal"/>
    <w:qFormat/>
    <w:pPr>
      <w:keepNext/>
      <w:spacing w:after="60" w:before="160"/>
      <w:outlineLvl w:val="1"/>
    </w:pPr>
    <w:rPr>
      <w:rFonts w:ascii="맑은 고딕" w:cs="맑은 고딕" w:eastAsia="맑은 고딕" w:hAnsi="맑은 고딕"/>
      <w:b/>
      <w:bCs/>
      <w:color w:val="0020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4646cf2b1276b479ea2e06ade1b4354bebb8526.png"/><Relationship Id="rId8" Type="http://schemas.openxmlformats.org/officeDocument/2006/relationships/image" Target="media/a8d16378abd450289be1273f9ffa44fc4a5c159a.png"/><Relationship Id="rId9" Type="http://schemas.openxmlformats.org/officeDocument/2006/relationships/image" Target="media/90819e908ef7ebcafa1aa6e6f5b2cce28cc68eee.png"/><Relationship Id="rId10" Type="http://schemas.openxmlformats.org/officeDocument/2006/relationships/image" Target="media/ac5494240857c73a5935510652fb96ae8b44fcb7.png"/><Relationship Id="rId11" Type="http://schemas.openxmlformats.org/officeDocument/2006/relationships/image" Target="media/0fa480bc8e16a4231238b79e784a683716e2c5b2.png"/><Relationship Id="rId12" Type="http://schemas.openxmlformats.org/officeDocument/2006/relationships/image" Target="media/a5a7d8e092f38b42dbd90a4bb25831e579f29e7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적응 영수증 — 2026 기후변화대응 비즈니스 아이디어 공모전 기획안</dc:title>
  <dc:creator>for_huss team</dc:creator>
  <cp:lastModifiedBy>Un-named</cp:lastModifiedBy>
  <cp:revision>1</cp:revision>
  <dcterms:created xsi:type="dcterms:W3CDTF">2026-10-15T11:06:48.664Z</dcterms:created>
  <dcterms:modified xsi:type="dcterms:W3CDTF">2026-10-15T11:06:48.665Z</dcterms:modified>
</cp:coreProperties>
</file>

<file path=docProps/custom.xml><?xml version="1.0" encoding="utf-8"?>
<Properties xmlns="http://schemas.openxmlformats.org/officeDocument/2006/custom-properties" xmlns:vt="http://schemas.openxmlformats.org/officeDocument/2006/docPropsVTypes"/>
</file>