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미래에셋생명-변액보험-mvp"/>
      <w:r>
        <w:t xml:space="preserve">미래에셋생명 변액보험 MVP</w:t>
      </w:r>
      <w:bookmarkEnd w:id="20"/>
    </w:p>
    <w:p>
      <w:pPr>
        <w:pStyle w:val="Heading2"/>
      </w:pPr>
      <w:bookmarkStart w:id="21" w:name="년-1분기-운용-보고서-확장판-4월-현황-반영"/>
      <w:r>
        <w:t xml:space="preserve">2026년 1분기 운용 보고서 (확장판 — 4월 현황 반영)</w:t>
      </w:r>
      <w:bookmarkEnd w:id="21"/>
    </w:p>
    <w:p>
      <w:pPr>
        <w:pStyle w:val="FirstParagraph"/>
      </w:pPr>
      <w:r>
        <w:rPr>
          <w:b/>
        </w:rPr>
        <w:t xml:space="preserve">작성일</w:t>
      </w:r>
      <w:r>
        <w:t xml:space="preserve"> </w:t>
      </w:r>
      <w:r>
        <w:t xml:space="preserve">2026-04-26 ·</w:t>
      </w:r>
      <w:r>
        <w:t xml:space="preserve"> </w:t>
      </w:r>
      <w:r>
        <w:rPr>
          <w:b/>
        </w:rPr>
        <w:t xml:space="preserve">기준일</w:t>
      </w:r>
      <w:r>
        <w:t xml:space="preserve"> </w:t>
      </w:r>
      <w:r>
        <w:t xml:space="preserve">2026-04-24 ·</w:t>
      </w:r>
      <w:r>
        <w:t xml:space="preserve"> </w:t>
      </w:r>
      <w:r>
        <w:rPr>
          <w:b/>
        </w:rPr>
        <w:t xml:space="preserve">작성</w:t>
      </w:r>
      <w:r>
        <w:t xml:space="preserve"> </w:t>
      </w:r>
      <w:r>
        <w:t xml:space="preserve">고객자산운용팀 (AI혁신팀 협업)</w:t>
      </w:r>
    </w:p>
    <w:p>
      <w:pPr>
        <w:pStyle w:val="BlockText"/>
      </w:pPr>
      <w:r>
        <w:rPr>
          <w:b/>
        </w:rPr>
        <w:t xml:space="preserve">이 보고서는</w:t>
      </w:r>
      <w:r>
        <w:t xml:space="preserve"> </w:t>
      </w:r>
      <w:r>
        <w:t xml:space="preserve">기준일을 3월 31일로 한 Q1 정본에 2026년 4월 1~24일 시장 전개를 추가하여, Q1 전략의 사후 검증 및 Q2 포지셔닝 재점검을 목적으로 작성한 확장판입니다.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q1-시장-환경-요약"/>
      <w:r>
        <w:t xml:space="preserve">1. Q1 시장 환경 요약</w:t>
      </w:r>
      <w:bookmarkEnd w:id="22"/>
    </w:p>
    <w:p>
      <w:pPr>
        <w:pStyle w:val="Heading3"/>
      </w:pPr>
      <w:bookmarkStart w:id="23" w:name="헤드라인"/>
      <w:r>
        <w:t xml:space="preserve">헤드라인</w:t>
      </w:r>
      <w:bookmarkEnd w:id="23"/>
    </w:p>
    <w:p>
      <w:pPr>
        <w:pStyle w:val="FirstParagraph"/>
      </w:pPr>
      <w:r>
        <w:t xml:space="preserve">2026년 1분기는 한 분기 안에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AI 공급자 랠리</w:t>
      </w:r>
      <w:r>
        <w:rPr>
          <w:b/>
        </w:rPr>
        <w:t xml:space="preserve">”</w:t>
      </w:r>
      <w:r>
        <w:t xml:space="preserve"> </w:t>
      </w:r>
      <w:r>
        <w:t xml:space="preserve">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지정학·유가 패닉</w:t>
      </w:r>
      <w:r>
        <w:rPr>
          <w:b/>
        </w:rPr>
        <w:t xml:space="preserve">”</w:t>
      </w:r>
      <w:r>
        <w:t xml:space="preserve"> </w:t>
      </w:r>
      <w:r>
        <w:t xml:space="preserve">이 순차적으로 충돌한 극단적 자산 분화의 분기였습니다. KOSPI</w:t>
      </w:r>
      <w:r>
        <w:t xml:space="preserve"> </w:t>
      </w:r>
      <w:r>
        <w:rPr>
          <w:b/>
        </w:rPr>
        <w:t xml:space="preserve">+19.89%</w:t>
      </w:r>
      <w:r>
        <w:t xml:space="preserve"> </w:t>
      </w:r>
      <w:r>
        <w:t xml:space="preserve">· S&amp;P500</w:t>
      </w:r>
      <w:r>
        <w:t xml:space="preserve"> </w:t>
      </w:r>
      <w:r>
        <w:rPr>
          <w:b/>
        </w:rPr>
        <w:t xml:space="preserve">−5.33%</w:t>
      </w:r>
      <w:r>
        <w:t xml:space="preserve"> </w:t>
      </w:r>
      <w:r>
        <w:t xml:space="preserve">· Brent</w:t>
      </w:r>
      <w:r>
        <w:t xml:space="preserve"> </w:t>
      </w:r>
      <w:r>
        <w:rPr>
          <w:b/>
        </w:rPr>
        <w:t xml:space="preserve">+91.13%</w:t>
      </w:r>
      <w:r>
        <w:t xml:space="preserve"> </w:t>
      </w:r>
      <w:r>
        <w:t xml:space="preserve">· VIX</w:t>
      </w:r>
      <w:r>
        <w:t xml:space="preserve"> </w:t>
      </w:r>
      <w:r>
        <w:rPr>
          <w:b/>
        </w:rPr>
        <w:t xml:space="preserve">+76.20%</w:t>
      </w:r>
      <w:r>
        <w:t xml:space="preserve"> </w:t>
      </w:r>
      <w:r>
        <w:t xml:space="preserve">라는 숫자가 Q1의 정체성을 압축합니다.</w:t>
      </w:r>
    </w:p>
    <w:p>
      <w:pPr>
        <w:pStyle w:val="Heading3"/>
      </w:pPr>
      <w:bookmarkStart w:id="24" w:name="분기를-관통한-3개-이벤트"/>
      <w:r>
        <w:t xml:space="preserve">분기를 관통한 3개 이벤트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시장 충격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HBM 슈퍼사이클 + Samsung 반도체 랠리</w:t>
            </w:r>
          </w:p>
        </w:tc>
        <w:tc>
          <w:p>
            <w:pPr>
              <w:pStyle w:val="Compact"/>
              <w:jc w:val="left"/>
            </w:pPr>
            <w:r>
              <w:t xml:space="preserve">1~2월</w:t>
            </w:r>
          </w:p>
        </w:tc>
        <w:tc>
          <w:p>
            <w:pPr>
              <w:pStyle w:val="Compact"/>
              <w:jc w:val="left"/>
            </w:pPr>
            <w:r>
              <w:t xml:space="preserve">KOSPI +48.2%(YTD 2월 말), Samsung +80.6%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호르무즈 봉쇄 · 이란-미국 긴장</w:t>
            </w:r>
          </w:p>
        </w:tc>
        <w:tc>
          <w:p>
            <w:pPr>
              <w:pStyle w:val="Compact"/>
              <w:jc w:val="left"/>
            </w:pPr>
            <w:r>
              <w:t xml:space="preserve">3월 전반</w:t>
            </w:r>
          </w:p>
        </w:tc>
        <w:tc>
          <w:p>
            <w:pPr>
              <w:pStyle w:val="Compact"/>
              <w:jc w:val="left"/>
            </w:pPr>
            <w:r>
              <w:t xml:space="preserve">Brent +91.13%(분기), 원화 1,510원 돌파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구글 TurboQuant 반도체 쇼크</w:t>
            </w:r>
          </w:p>
        </w:tc>
        <w:tc>
          <w:p>
            <w:pPr>
              <w:pStyle w:val="Compact"/>
              <w:jc w:val="left"/>
            </w:pPr>
            <w:r>
              <w:t xml:space="preserve">3월 말</w:t>
            </w:r>
          </w:p>
        </w:tc>
        <w:tc>
          <w:p>
            <w:pPr>
              <w:pStyle w:val="Compact"/>
              <w:jc w:val="left"/>
            </w:pPr>
            <w:r>
              <w:t xml:space="preserve">외국인 35조원 순매도(역대 최대), Samsung −22.77%(3월)</w:t>
            </w:r>
          </w:p>
        </w:tc>
      </w:tr>
    </w:tbl>
    <w:p>
      <w:pPr>
        <w:pStyle w:val="Heading3"/>
      </w:pPr>
      <w:bookmarkStart w:id="25" w:name="주요-자산군-성과-2026-01-02-2026-03-31"/>
      <w:r>
        <w:t xml:space="preserve">주요 자산군 성과 (2026-01-02 → 2026-03-31)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분기 시작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분기 종료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p>
            <w:pPr>
              <w:pStyle w:val="Compact"/>
              <w:jc w:val="left"/>
            </w:pPr>
            <w:r>
              <w:t xml:space="preserve">4,309</w:t>
            </w:r>
          </w:p>
        </w:tc>
        <w:tc>
          <w:p>
            <w:pPr>
              <w:pStyle w:val="Compact"/>
              <w:jc w:val="left"/>
            </w:pPr>
            <w:r>
              <w:t xml:space="preserve">5,052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+19.89%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KOSDAQ</w:t>
            </w:r>
          </w:p>
        </w:tc>
        <w:tc>
          <w:p>
            <w:pPr>
              <w:pStyle w:val="Compact"/>
              <w:jc w:val="left"/>
            </w:pPr>
            <w:r>
              <w:t xml:space="preserve">945</w:t>
            </w:r>
          </w:p>
        </w:tc>
        <w:tc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+13.71%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S&amp;P500</w:t>
            </w:r>
          </w:p>
        </w:tc>
        <w:tc>
          <w:p>
            <w:pPr>
              <w:pStyle w:val="Compact"/>
              <w:jc w:val="left"/>
            </w:pPr>
            <w:r>
              <w:t xml:space="preserve">6,858</w:t>
            </w:r>
          </w:p>
        </w:tc>
        <w:tc>
          <w:p>
            <w:pPr>
              <w:pStyle w:val="Compact"/>
              <w:jc w:val="left"/>
            </w:pPr>
            <w:r>
              <w:t xml:space="preserve">6,528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−5.33%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NASDAQ</w:t>
            </w:r>
          </w:p>
        </w:tc>
        <w:tc>
          <w:p>
            <w:pPr>
              <w:pStyle w:val="Compact"/>
              <w:jc w:val="left"/>
            </w:pPr>
            <w:r>
              <w:t xml:space="preserve">23,235</w:t>
            </w:r>
          </w:p>
        </w:tc>
        <w:tc>
          <w:p>
            <w:pPr>
              <w:pStyle w:val="Compact"/>
              <w:jc w:val="left"/>
            </w:pPr>
            <w:r>
              <w:t xml:space="preserve">21,590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−7.81%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Brent(</w:t>
            </w:r>
            <m:oMath>
              <m:r>
                <m:t>/</m:t>
              </m:r>
              <m:r>
                <m:t>b</m:t>
              </m:r>
              <m:r>
                <m:t>b</m:t>
              </m:r>
              <m:r>
                <m:t>l</m:t>
              </m:r>
              <m:r>
                <m:t>)</m:t>
              </m:r>
              <m:r>
                <m:t>|</m:t>
              </m:r>
              <m:r>
                <m:t>60.75</m:t>
              </m:r>
              <m:r>
                <m:t>|</m:t>
              </m:r>
              <m:r>
                <m:t>118.35</m:t>
              </m:r>
              <m:r>
                <m:t>|</m:t>
              </m:r>
              <m:r>
                <m:t>*</m:t>
              </m:r>
              <m:r>
                <m:t>*</m:t>
              </m:r>
              <m:r>
                <m:t>+</m:t>
              </m:r>
              <m:r>
                <m:t>91.13</m:t>
              </m:r>
            </m:oMath>
            <w:r>
              <w:t xml:space="preserve">/bbl)</w:t>
            </w:r>
          </w:p>
        </w:tc>
        <w:tc>
          <w:p>
            <w:pPr>
              <w:pStyle w:val="Compact"/>
              <w:jc w:val="left"/>
            </w:pPr>
            <w:r>
              <w:t xml:space="preserve">57.32</w:t>
            </w:r>
          </w:p>
        </w:tc>
        <w:tc>
          <w:p>
            <w:pPr>
              <w:pStyle w:val="Compact"/>
              <w:jc w:val="left"/>
            </w:pPr>
            <w:r>
              <w:t xml:space="preserve">101.38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+74.94%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Gold($/oz)</w:t>
            </w:r>
          </w:p>
        </w:tc>
        <w:tc>
          <w:p>
            <w:pPr>
              <w:pStyle w:val="Compact"/>
              <w:jc w:val="left"/>
            </w:pPr>
            <w:r>
              <w:t xml:space="preserve">4,329</w:t>
            </w:r>
          </w:p>
        </w:tc>
        <w:tc>
          <w:p>
            <w:pPr>
              <w:pStyle w:val="Compact"/>
              <w:jc w:val="left"/>
            </w:pPr>
            <w:r>
              <w:t xml:space="preserve">4,678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+6.66%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USD/KRW</w:t>
            </w:r>
          </w:p>
        </w:tc>
        <w:tc>
          <w:p>
            <w:pPr>
              <w:pStyle w:val="Compact"/>
              <w:jc w:val="left"/>
            </w:pPr>
            <w:r>
              <w:t xml:space="preserve">1,442</w:t>
            </w:r>
          </w:p>
        </w:tc>
        <w:tc>
          <w:p>
            <w:pPr>
              <w:pStyle w:val="Compact"/>
              <w:jc w:val="left"/>
            </w:pPr>
            <w:r>
              <w:t xml:space="preserve">1,506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+4.75%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VIX</w:t>
            </w:r>
          </w:p>
        </w:tc>
        <w:tc>
          <w:p>
            <w:pPr>
              <w:pStyle w:val="Compact"/>
              <w:jc w:val="left"/>
            </w:pPr>
            <w:r>
              <w:t xml:space="preserve">14.51</w:t>
            </w:r>
          </w:p>
        </w:tc>
        <w:tc>
          <w:p>
            <w:pPr>
              <w:pStyle w:val="Compact"/>
              <w:jc w:val="left"/>
            </w:pPr>
            <w:r>
              <w:t xml:space="preserve">25.25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+76.20%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 10Y</w:t>
            </w:r>
          </w:p>
        </w:tc>
        <w:tc>
          <w:p>
            <w:pPr>
              <w:pStyle w:val="Compact"/>
              <w:jc w:val="left"/>
            </w:pPr>
            <w:r>
              <w:t xml:space="preserve">4.19%</w:t>
            </w:r>
          </w:p>
        </w:tc>
        <w:tc>
          <w:p>
            <w:pPr>
              <w:pStyle w:val="Compact"/>
              <w:jc w:val="left"/>
            </w:pPr>
            <w:r>
              <w:t xml:space="preserve">4.31%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+18bp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 3Y</w:t>
            </w:r>
          </w:p>
        </w:tc>
        <w:tc>
          <w:p>
            <w:pPr>
              <w:pStyle w:val="Compact"/>
              <w:jc w:val="left"/>
            </w:pPr>
            <w:r>
              <w:t xml:space="preserve">2.94%</w:t>
            </w:r>
          </w:p>
        </w:tc>
        <w:tc>
          <w:p>
            <w:pPr>
              <w:pStyle w:val="Compact"/>
              <w:jc w:val="left"/>
            </w:pPr>
            <w:r>
              <w:t xml:space="preserve">3.55%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+61bp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Samsung Electronics</w:t>
            </w:r>
          </w:p>
        </w:tc>
        <w:tc>
          <w:p>
            <w:pPr>
              <w:pStyle w:val="Compact"/>
              <w:jc w:val="left"/>
            </w:pPr>
            <w:r>
              <w:t xml:space="preserve">128,500원</w:t>
            </w:r>
          </w:p>
        </w:tc>
        <w:tc>
          <w:p>
            <w:pPr>
              <w:pStyle w:val="Compact"/>
              <w:jc w:val="left"/>
            </w:pPr>
            <w:r>
              <w:t xml:space="preserve">167,200원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+30.19%</w:t>
            </w:r>
          </w:p>
        </w:tc>
      </w:tr>
    </w:tbl>
    <w:p>
      <w:pPr>
        <w:pStyle w:val="Heading3"/>
      </w:pPr>
      <w:bookmarkStart w:id="26" w:name="월별-흐름"/>
      <w:r>
        <w:t xml:space="preserve">월별 흐름</w:t>
      </w:r>
      <w:bookmarkEnd w:id="26"/>
    </w:p>
    <w:p>
      <w:pPr>
        <w:pStyle w:val="FirstParagraph"/>
      </w:pPr>
      <w:r>
        <w:rPr>
          <w:b/>
        </w:rPr>
        <w:t xml:space="preserve">1월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한국 독주의 서막</w:t>
      </w:r>
      <w:r>
        <w:rPr>
          <w:b/>
        </w:rPr>
        <w:t xml:space="preserve">”</w:t>
      </w:r>
      <w:r>
        <w:t xml:space="preserve"> </w:t>
      </w:r>
      <w:r>
        <w:t xml:space="preserve">Dec NFP −17K(팬데믹 이후 첫 마이너스) → FOMC 1/28~29 25bp 인하(3.72→3.64%) · QT 사실상 종료. BOJ 0.25→0.50% 인상(엔 캐리 청산 압력). Samsung HBM 수요 기대 + AI 인프라 내러티브로 KOSPI 월간</w:t>
      </w:r>
      <w:r>
        <w:t xml:space="preserve"> </w:t>
      </w:r>
      <w:r>
        <w:rPr>
          <w:b/>
        </w:rPr>
        <w:t xml:space="preserve">+23.97%</w:t>
      </w:r>
      <w:r>
        <w:t xml:space="preserve">(21세기 역대급). S&amp;P500 +0.62% 제자리와 극단적 디커플링을 기록했습니다.</w:t>
      </w:r>
    </w:p>
    <w:p>
      <w:pPr>
        <w:pStyle w:val="BodyText"/>
      </w:pPr>
      <w:r>
        <w:rPr>
          <w:b/>
        </w:rPr>
        <w:t xml:space="preserve">2월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연속 독주 + 채권·금 피크</w:t>
      </w:r>
      <w:r>
        <w:rPr>
          <w:b/>
        </w:rPr>
        <w:t xml:space="preserve">”</w:t>
      </w:r>
      <w:r>
        <w:t xml:space="preserve"> </w:t>
      </w:r>
      <w:r>
        <w:t xml:space="preserve">KOSPI YTD +48.2%·Samsung +80.6% 고점(2/26~27). Core CPI 2.95%로 끈적한 흐름이 이어진 가운데, 채권 랠리(TLT +4.9%)·Gold +10.6%가 동시에 진행되었습니다. Amazon 9일 연속 하락, 중국 빅테크 급조정. 한은 6연속 2.50% 동결, 성장률 2.0%로 상향. VIX 19.86으로 경고 레벨이 상승했습니다.</w:t>
      </w:r>
    </w:p>
    <w:p>
      <w:pPr>
        <w:pStyle w:val="BodyText"/>
      </w:pPr>
      <w:r>
        <w:rPr>
          <w:b/>
        </w:rPr>
        <w:t xml:space="preserve">3월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호르무즈 쇼크 + TurboQuant</w:t>
      </w:r>
      <w:r>
        <w:rPr>
          <w:b/>
        </w:rPr>
        <w:t xml:space="preserve">”</w:t>
      </w:r>
      <w:r>
        <w:t xml:space="preserve"> </w:t>
      </w:r>
      <w:r>
        <w:t xml:space="preserve">호르무즈 봉쇄 → Brent 월간 +63%(1988년 이후 최대) → 원/달러 1,510원 돌파(17년 만). FOMC 3/17~18 동결(8:1),</w:t>
      </w:r>
      <w:r>
        <w:t xml:space="preserve"> </w:t>
      </w:r>
      <w:r>
        <w:t xml:space="preserve">“</w:t>
      </w:r>
      <w:r>
        <w:t xml:space="preserve">에너지 인플레 시 인상 배제 불가</w:t>
      </w:r>
      <w:r>
        <w:t xml:space="preserve">”</w:t>
      </w:r>
      <w:r>
        <w:t xml:space="preserve"> </w:t>
      </w:r>
      <w:r>
        <w:t xml:space="preserve">매파 전환. 3/25 Google TurboQuant(AI 메모리 6배 절감) 발표 → 외국인 35조원 매도(역대 최대). KOSPI 월간</w:t>
      </w:r>
      <w:r>
        <w:t xml:space="preserve"> </w:t>
      </w:r>
      <w:r>
        <w:rPr>
          <w:b/>
        </w:rPr>
        <w:t xml:space="preserve">−19.08%</w:t>
      </w:r>
      <w:r>
        <w:t xml:space="preserve">, Samsung −22.77%를 기록하며 분기를 마감했습니다.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vp-포트폴리오-전략-및-변경-내역"/>
      <w:r>
        <w:t xml:space="preserve">2. MVP 포트폴리오 전략 및 변경 내역</w:t>
      </w:r>
      <w:bookmarkEnd w:id="27"/>
    </w:p>
    <w:p>
      <w:pPr>
        <w:pStyle w:val="Heading3"/>
      </w:pPr>
      <w:bookmarkStart w:id="28" w:name="q1-전략-기조"/>
      <w:r>
        <w:t xml:space="preserve">2-1. Q1 전략 기조</w:t>
      </w:r>
      <w:bookmarkEnd w:id="28"/>
    </w:p>
    <w:p>
      <w:pPr>
        <w:pStyle w:val="FirstParagraph"/>
      </w:pPr>
      <w:r>
        <w:t xml:space="preserve">MVP는 Q1을 앞두고 세 가지 테마를 중심으로 포트폴리오를 재편하였습니다.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AI 인프라로의 이동</w:t>
      </w:r>
      <w:r>
        <w:t xml:space="preserve"> </w:t>
      </w:r>
      <w:r>
        <w:t xml:space="preserve">— 전통 SaaS 비중 축소(글로벌IT소프트웨어주식형 −10%P), 파운데이션 모델 보유 빅테크·인프라에 집중(ETF글로벌AI테크 +15%P)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한국 구조적 비중 확대</w:t>
      </w:r>
      <w:r>
        <w:t xml:space="preserve"> </w:t>
      </w:r>
      <w:r>
        <w:t xml:space="preserve">— 미·중 공급망 재편 수혜주(반도체·전력기기·방산)로 국내 성장형 +10%P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채권 안정성 유지 + 신흥국 인컴 추가</w:t>
      </w:r>
      <w:r>
        <w:t xml:space="preserve"> </w:t>
      </w:r>
      <w:r>
        <w:t xml:space="preserve">— 이머징마켓채권형 증액, 달러 기반 우량채 중심</w:t>
      </w:r>
    </w:p>
    <w:p>
      <w:pPr>
        <w:pStyle w:val="Heading3"/>
      </w:pPr>
      <w:bookmarkStart w:id="29" w:name="글로벌mvp시리즈-포트폴리오-현황-2026-01-01-기준"/>
      <w:r>
        <w:t xml:space="preserve">2-2. 글로벌MVP시리즈 포트폴리오 현황 (2026-01-01 기준)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MVP주식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MVP60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N1A0</w:t>
            </w:r>
          </w:p>
        </w:tc>
        <w:tc>
          <w:p>
            <w:pPr>
              <w:pStyle w:val="Compact"/>
              <w:jc w:val="left"/>
            </w:pPr>
            <w:r>
              <w:t xml:space="preserve">성장형</w:t>
            </w:r>
          </w:p>
        </w:tc>
        <w:tc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p>
            <w:pPr>
              <w:pStyle w:val="Compact"/>
              <w:jc w:val="left"/>
            </w:pPr>
            <w:r>
              <w:t xml:space="preserve">+10 / +6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N1E0</w:t>
            </w:r>
          </w:p>
        </w:tc>
        <w:tc>
          <w:p>
            <w:pPr>
              <w:pStyle w:val="Compact"/>
              <w:jc w:val="left"/>
            </w:pPr>
            <w:r>
              <w:t xml:space="preserve">배당주식형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N390</w:t>
            </w:r>
          </w:p>
        </w:tc>
        <w:tc>
          <w:p>
            <w:pPr>
              <w:pStyle w:val="Compact"/>
              <w:jc w:val="left"/>
            </w:pPr>
            <w:r>
              <w:t xml:space="preserve">ETF글로벌AI테크</w:t>
            </w:r>
          </w:p>
        </w:tc>
        <w:tc>
          <w:p>
            <w:pPr>
              <w:pStyle w:val="Compact"/>
              <w:jc w:val="left"/>
            </w:pPr>
            <w:r>
              <w:t xml:space="preserve">35.0%</w:t>
            </w:r>
          </w:p>
        </w:tc>
        <w:tc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p>
            <w:pPr>
              <w:pStyle w:val="Compact"/>
              <w:jc w:val="left"/>
            </w:pPr>
            <w:r>
              <w:t xml:space="preserve">+15 / +9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N4B0</w:t>
            </w:r>
          </w:p>
        </w:tc>
        <w:tc>
          <w:p>
            <w:pPr>
              <w:pStyle w:val="Compact"/>
              <w:jc w:val="left"/>
            </w:pPr>
            <w:r>
              <w:t xml:space="preserve">글로벌성장산업재</w:t>
            </w:r>
          </w:p>
        </w:tc>
        <w:tc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p>
            <w:pPr>
              <w:pStyle w:val="Compact"/>
              <w:jc w:val="left"/>
            </w:pPr>
            <w:r>
              <w:t xml:space="preserve">10.5%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N4D0</w:t>
            </w:r>
          </w:p>
        </w:tc>
        <w:tc>
          <w:p>
            <w:pPr>
              <w:pStyle w:val="Compact"/>
              <w:jc w:val="left"/>
            </w:pPr>
            <w:r>
              <w:t xml:space="preserve">글로벌신성장액티브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N4F0</w:t>
            </w:r>
          </w:p>
        </w:tc>
        <w:tc>
          <w:p>
            <w:pPr>
              <w:pStyle w:val="Compact"/>
              <w:jc w:val="left"/>
            </w:pPr>
            <w:r>
              <w:t xml:space="preserve">글로벌IT소프트웨어주식형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−10 / −6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N401</w:t>
            </w:r>
          </w:p>
        </w:tc>
        <w:tc>
          <w:p>
            <w:pPr>
              <w:pStyle w:val="Compact"/>
              <w:jc w:val="left"/>
            </w:pPr>
            <w:r>
              <w:t xml:space="preserve">글로벌성장주식형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N380</w:t>
            </w:r>
          </w:p>
        </w:tc>
        <w:tc>
          <w:p>
            <w:pPr>
              <w:pStyle w:val="Compact"/>
              <w:jc w:val="left"/>
            </w:pPr>
            <w:r>
              <w:t xml:space="preserve">미국주식형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N4H0</w:t>
            </w:r>
          </w:p>
        </w:tc>
        <w:tc>
          <w:p>
            <w:pPr>
              <w:pStyle w:val="Compact"/>
              <w:jc w:val="left"/>
            </w:pPr>
            <w:r>
              <w:t xml:space="preserve">[인덱스ETF] 미국나스닥100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−5 / 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N2E0</w:t>
            </w:r>
          </w:p>
        </w:tc>
        <w:tc>
          <w:p>
            <w:pPr>
              <w:pStyle w:val="Compact"/>
              <w:jc w:val="left"/>
            </w:pPr>
            <w:r>
              <w:t xml:space="preserve">A+차이나</w:t>
            </w:r>
          </w:p>
        </w:tc>
        <w:tc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p>
            <w:pPr>
              <w:pStyle w:val="Compact"/>
              <w:jc w:val="left"/>
            </w:pPr>
            <w:r>
              <w:t xml:space="preserve">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N2A0</w:t>
            </w:r>
          </w:p>
        </w:tc>
        <w:tc>
          <w:p>
            <w:pPr>
              <w:pStyle w:val="Compact"/>
              <w:jc w:val="left"/>
            </w:pPr>
            <w:r>
              <w:t xml:space="preserve">아시아주식형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+2.5 / +1.5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N2B0</w:t>
            </w:r>
          </w:p>
        </w:tc>
        <w:tc>
          <w:p>
            <w:pPr>
              <w:pStyle w:val="Compact"/>
              <w:jc w:val="left"/>
            </w:pPr>
            <w:r>
              <w:t xml:space="preserve">친디아주식형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−2.5 / −1.5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N920</w:t>
            </w:r>
          </w:p>
        </w:tc>
        <w:tc>
          <w:p>
            <w:pPr>
              <w:pStyle w:val="Compact"/>
              <w:jc w:val="left"/>
            </w:pPr>
            <w:r>
              <w:t xml:space="preserve">골드투자형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+5 / +1</w:t>
            </w:r>
          </w:p>
        </w:tc>
      </w:tr>
    </w:tbl>
    <w:p>
      <w:pPr>
        <w:pStyle w:val="BodyText"/>
      </w:pPr>
      <w:r>
        <w:rPr>
          <w:b/>
        </w:rPr>
        <w:t xml:space="preserve">채권 포트폴리오</w:t>
      </w:r>
      <w:r>
        <w:t xml:space="preserve"> </w:t>
      </w:r>
      <w:r>
        <w:t xml:space="preserve">— YTM 4.13% · 듀레이션 3.82Y (전분기 대비 YTM ↓0.01%P · 듀레이션 ↓0.11Y). 이머징마켓채권형 +2.5%P 증액, MMF형 +2.5%P 증액(유동성 강화)하였습니다.</w:t>
      </w:r>
    </w:p>
    <w:p>
      <w:pPr>
        <w:pStyle w:val="Heading3"/>
      </w:pPr>
      <w:bookmarkStart w:id="30" w:name="글로벌mvp주식형-운용-성과"/>
      <w:r>
        <w:t xml:space="preserve">2-3. 글로벌MVP주식형 운용 성과</w:t>
      </w:r>
      <w:bookmarkEnd w:id="30"/>
    </w:p>
    <w:p>
      <w:pPr>
        <w:pStyle w:val="FirstParagraph"/>
      </w:pPr>
      <w:r>
        <w:rPr>
          <w:i/>
        </w:rPr>
        <w:t xml:space="preserve">(기준일: 2026-03-16, 출처: 한국펀드파트너스)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1개월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3개월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6개월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 후 누적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글로벌MVP주식형</w:t>
            </w:r>
          </w:p>
        </w:tc>
        <w:tc>
          <w:p>
            <w:pPr>
              <w:pStyle w:val="Compact"/>
              <w:jc w:val="left"/>
            </w:pPr>
            <w:r>
              <w:t xml:space="preserve">+2.4%</w:t>
            </w:r>
          </w:p>
        </w:tc>
        <w:tc>
          <w:p>
            <w:pPr>
              <w:pStyle w:val="Compact"/>
              <w:jc w:val="left"/>
            </w:pPr>
            <w:r>
              <w:t xml:space="preserve">+7.23%</w:t>
            </w:r>
          </w:p>
        </w:tc>
        <w:tc>
          <w:p>
            <w:pPr>
              <w:pStyle w:val="Compact"/>
              <w:jc w:val="left"/>
            </w:pPr>
            <w:r>
              <w:t xml:space="preserve">+16.12%</w:t>
            </w:r>
          </w:p>
        </w:tc>
        <w:tc>
          <w:p>
            <w:pPr>
              <w:pStyle w:val="Compact"/>
              <w:jc w:val="left"/>
            </w:pPr>
            <w:r>
              <w:t xml:space="preserve">+35.42%</w:t>
            </w:r>
          </w:p>
        </w:tc>
        <w:tc>
          <w:p>
            <w:pPr>
              <w:pStyle w:val="Compact"/>
              <w:jc w:val="left"/>
            </w:pPr>
            <w:r>
              <w:t xml:space="preserve">+99.01%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+170.43%</w:t>
            </w:r>
          </w:p>
        </w:tc>
      </w:tr>
    </w:tbl>
    <w:p>
      <w:pPr>
        <w:pStyle w:val="BodyText"/>
      </w:pPr>
      <w:r>
        <w:t xml:space="preserve">설정일(2017-08-28) 이후 누적 +170.43%, 연평균 +19.93%, 변동성 13.42%입니다.</w:t>
      </w:r>
    </w:p>
    <w:p>
      <w:pPr>
        <w:pStyle w:val="Heading3"/>
      </w:pPr>
      <w:bookmarkStart w:id="31" w:name="mvp-시리즈-전체-성과-2025-12-31-기준"/>
      <w:r>
        <w:t xml:space="preserve">2-4. MVP 시리즈 전체 성과 (2025-12-31 기준)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MVP주식</w:t>
            </w:r>
          </w:p>
        </w:tc>
        <w:tc>
          <w:p>
            <w:pPr>
              <w:pStyle w:val="Compact"/>
              <w:jc w:val="left"/>
            </w:pPr>
            <w:r>
              <w:t xml:space="preserve">+0.7%</w:t>
            </w:r>
          </w:p>
        </w:tc>
        <w:tc>
          <w:p>
            <w:pPr>
              <w:pStyle w:val="Compact"/>
              <w:jc w:val="left"/>
            </w:pPr>
            <w:r>
              <w:t xml:space="preserve">+3.1%</w:t>
            </w:r>
          </w:p>
        </w:tc>
        <w:tc>
          <w:p>
            <w:pPr>
              <w:pStyle w:val="Compact"/>
              <w:jc w:val="left"/>
            </w:pPr>
            <w:r>
              <w:t xml:space="preserve">+17.8%</w:t>
            </w:r>
          </w:p>
        </w:tc>
        <w:tc>
          <w:p>
            <w:pPr>
              <w:pStyle w:val="Compact"/>
              <w:jc w:val="left"/>
            </w:pPr>
            <w:r>
              <w:t xml:space="preserve">+15.9%</w:t>
            </w:r>
          </w:p>
        </w:tc>
        <w:tc>
          <w:p>
            <w:pPr>
              <w:pStyle w:val="Compact"/>
              <w:jc w:val="left"/>
            </w:pPr>
            <w:r>
              <w:t xml:space="preserve">+92.9%</w:t>
            </w:r>
          </w:p>
        </w:tc>
        <w:tc>
          <w:p>
            <w:pPr>
              <w:pStyle w:val="Compact"/>
              <w:jc w:val="left"/>
            </w:pPr>
            <w:r>
              <w:t xml:space="preserve">+58.8%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+148.2%</w:t>
            </w:r>
          </w:p>
        </w:tc>
        <w:tc>
          <w:p>
            <w:pPr>
              <w:pStyle w:val="Compact"/>
              <w:jc w:val="left"/>
            </w:pPr>
            <w:r>
              <w:t xml:space="preserve">13.3%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60</w:t>
            </w:r>
          </w:p>
        </w:tc>
        <w:tc>
          <w:p>
            <w:pPr>
              <w:pStyle w:val="Compact"/>
              <w:jc w:val="left"/>
            </w:pPr>
            <w:r>
              <w:t xml:space="preserve">+0.6%</w:t>
            </w:r>
          </w:p>
        </w:tc>
        <w:tc>
          <w:p>
            <w:pPr>
              <w:pStyle w:val="Compact"/>
              <w:jc w:val="left"/>
            </w:pPr>
            <w:r>
              <w:t xml:space="preserve">+2.2%</w:t>
            </w:r>
          </w:p>
        </w:tc>
        <w:tc>
          <w:p>
            <w:pPr>
              <w:pStyle w:val="Compact"/>
              <w:jc w:val="left"/>
            </w:pPr>
            <w:r>
              <w:t xml:space="preserve">+11.4%</w:t>
            </w:r>
          </w:p>
        </w:tc>
        <w:tc>
          <w:p>
            <w:pPr>
              <w:pStyle w:val="Compact"/>
              <w:jc w:val="left"/>
            </w:pPr>
            <w:r>
              <w:t xml:space="preserve">+12.1%</w:t>
            </w:r>
          </w:p>
        </w:tc>
        <w:tc>
          <w:p>
            <w:pPr>
              <w:pStyle w:val="Compact"/>
              <w:jc w:val="left"/>
            </w:pPr>
            <w:r>
              <w:t xml:space="preserve">+56.2%</w:t>
            </w:r>
          </w:p>
        </w:tc>
        <w:tc>
          <w:p>
            <w:pPr>
              <w:pStyle w:val="Compact"/>
              <w:jc w:val="left"/>
            </w:pPr>
            <w:r>
              <w:t xml:space="preserve">+35.1%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+115.0%</w:t>
            </w:r>
          </w:p>
        </w:tc>
        <w:tc>
          <w:p>
            <w:pPr>
              <w:pStyle w:val="Compact"/>
              <w:jc w:val="left"/>
            </w:pPr>
            <w:r>
              <w:t xml:space="preserve">8.2%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50</w:t>
            </w:r>
          </w:p>
        </w:tc>
        <w:tc>
          <w:p>
            <w:pPr>
              <w:pStyle w:val="Compact"/>
              <w:jc w:val="left"/>
            </w:pPr>
            <w:r>
              <w:t xml:space="preserve">+0.5%</w:t>
            </w:r>
          </w:p>
        </w:tc>
        <w:tc>
          <w:p>
            <w:pPr>
              <w:pStyle w:val="Compact"/>
              <w:jc w:val="left"/>
            </w:pPr>
            <w:r>
              <w:t xml:space="preserve">+1.9%</w:t>
            </w:r>
          </w:p>
        </w:tc>
        <w:tc>
          <w:p>
            <w:pPr>
              <w:pStyle w:val="Compact"/>
              <w:jc w:val="left"/>
            </w:pPr>
            <w:r>
              <w:t xml:space="preserve">+9.7%</w:t>
            </w:r>
          </w:p>
        </w:tc>
        <w:tc>
          <w:p>
            <w:pPr>
              <w:pStyle w:val="Compact"/>
              <w:jc w:val="left"/>
            </w:pPr>
            <w:r>
              <w:t xml:space="preserve">+10.6%</w:t>
            </w:r>
          </w:p>
        </w:tc>
        <w:tc>
          <w:p>
            <w:pPr>
              <w:pStyle w:val="Compact"/>
              <w:jc w:val="left"/>
            </w:pPr>
            <w:r>
              <w:t xml:space="preserve">+48.2%</w:t>
            </w:r>
          </w:p>
        </w:tc>
        <w:tc>
          <w:p>
            <w:pPr>
              <w:pStyle w:val="Compact"/>
              <w:jc w:val="left"/>
            </w:pPr>
            <w:r>
              <w:t xml:space="preserve">+28.7%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+86.8%</w:t>
            </w:r>
          </w:p>
        </w:tc>
        <w:tc>
          <w:p>
            <w:pPr>
              <w:pStyle w:val="Compact"/>
              <w:jc w:val="left"/>
            </w:pPr>
            <w:r>
              <w:t xml:space="preserve">6.9%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30</w:t>
            </w:r>
          </w:p>
        </w:tc>
        <w:tc>
          <w:p>
            <w:pPr>
              <w:pStyle w:val="Compact"/>
              <w:jc w:val="left"/>
            </w:pPr>
            <w:r>
              <w:t xml:space="preserve">+0.4%</w:t>
            </w:r>
          </w:p>
        </w:tc>
        <w:tc>
          <w:p>
            <w:pPr>
              <w:pStyle w:val="Compact"/>
              <w:jc w:val="left"/>
            </w:pPr>
            <w:r>
              <w:t xml:space="preserve">+1.4%</w:t>
            </w:r>
          </w:p>
        </w:tc>
        <w:tc>
          <w:p>
            <w:pPr>
              <w:pStyle w:val="Compact"/>
              <w:jc w:val="left"/>
            </w:pPr>
            <w:r>
              <w:t xml:space="preserve">+6.6%</w:t>
            </w:r>
          </w:p>
        </w:tc>
        <w:tc>
          <w:p>
            <w:pPr>
              <w:pStyle w:val="Compact"/>
              <w:jc w:val="left"/>
            </w:pPr>
            <w:r>
              <w:t xml:space="preserve">+8.3%</w:t>
            </w:r>
          </w:p>
        </w:tc>
        <w:tc>
          <w:p>
            <w:pPr>
              <w:pStyle w:val="Compact"/>
              <w:jc w:val="left"/>
            </w:pPr>
            <w:r>
              <w:t xml:space="preserve">+33.9%</w:t>
            </w:r>
          </w:p>
        </w:tc>
        <w:tc>
          <w:p>
            <w:pPr>
              <w:pStyle w:val="Compact"/>
              <w:jc w:val="left"/>
            </w:pPr>
            <w:r>
              <w:t xml:space="preserve">+19.0%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+64.1%</w:t>
            </w:r>
          </w:p>
        </w:tc>
        <w:tc>
          <w:p>
            <w:pPr>
              <w:pStyle w:val="Compact"/>
              <w:jc w:val="left"/>
            </w:pPr>
            <w:r>
              <w:t xml:space="preserve">4.6%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MVP채권</w:t>
            </w:r>
          </w:p>
        </w:tc>
        <w:tc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t xml:space="preserve">+0.8%</w:t>
            </w:r>
          </w:p>
        </w:tc>
        <w:tc>
          <w:p>
            <w:pPr>
              <w:pStyle w:val="Compact"/>
              <w:jc w:val="left"/>
            </w:pPr>
            <w:r>
              <w:t xml:space="preserve">+2.4%</w:t>
            </w:r>
          </w:p>
        </w:tc>
        <w:tc>
          <w:p>
            <w:pPr>
              <w:pStyle w:val="Compact"/>
              <w:jc w:val="left"/>
            </w:pPr>
            <w:r>
              <w:t xml:space="preserve">+4.9%</w:t>
            </w:r>
          </w:p>
        </w:tc>
        <w:tc>
          <w:p>
            <w:pPr>
              <w:pStyle w:val="Compact"/>
              <w:jc w:val="left"/>
            </w:pPr>
            <w:r>
              <w:t xml:space="preserve">+15.5%</w:t>
            </w:r>
          </w:p>
        </w:tc>
        <w:tc>
          <w:p>
            <w:pPr>
              <w:pStyle w:val="Compact"/>
              <w:jc w:val="left"/>
            </w:pPr>
            <w:r>
              <w:t xml:space="preserve">+6.3%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+25.8%</w:t>
            </w:r>
          </w:p>
        </w:tc>
        <w:tc>
          <w:p>
            <w:pPr>
              <w:pStyle w:val="Compact"/>
              <w:jc w:val="left"/>
            </w:pPr>
            <w:r>
              <w:t xml:space="preserve">2.4%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tf-mvp-ai-mvp-현황"/>
      <w:r>
        <w:t xml:space="preserve">3. ETF MVP &amp; AI MVP 현황</w:t>
      </w:r>
      <w:bookmarkEnd w:id="32"/>
    </w:p>
    <w:p>
      <w:pPr>
        <w:pStyle w:val="Heading3"/>
      </w:pPr>
      <w:bookmarkStart w:id="33" w:name="etf-mvp-성과-2025-12-31-기준"/>
      <w:r>
        <w:t xml:space="preserve">3-1. ETF MVP 성과 (2025-12-31 기준)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주식</w:t>
            </w:r>
          </w:p>
        </w:tc>
        <w:tc>
          <w:p>
            <w:pPr>
              <w:pStyle w:val="Compact"/>
              <w:jc w:val="left"/>
            </w:pPr>
            <w:r>
              <w:t xml:space="preserve">+0.5%</w:t>
            </w:r>
          </w:p>
        </w:tc>
        <w:tc>
          <w:p>
            <w:pPr>
              <w:pStyle w:val="Compact"/>
              <w:jc w:val="left"/>
            </w:pPr>
            <w:r>
              <w:t xml:space="preserve">+5.3%</w:t>
            </w:r>
          </w:p>
        </w:tc>
        <w:tc>
          <w:p>
            <w:pPr>
              <w:pStyle w:val="Compact"/>
              <w:jc w:val="left"/>
            </w:pPr>
            <w:r>
              <w:t xml:space="preserve">+19.7%</w:t>
            </w:r>
          </w:p>
        </w:tc>
        <w:tc>
          <w:p>
            <w:pPr>
              <w:pStyle w:val="Compact"/>
              <w:jc w:val="left"/>
            </w:pPr>
            <w:r>
              <w:t xml:space="preserve">+18.9%</w:t>
            </w:r>
          </w:p>
        </w:tc>
        <w:tc>
          <w:p>
            <w:pPr>
              <w:pStyle w:val="Compact"/>
              <w:jc w:val="left"/>
            </w:pPr>
            <w:r>
              <w:t xml:space="preserve">+97.0%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+73.7%</w:t>
            </w:r>
          </w:p>
        </w:tc>
        <w:tc>
          <w:p>
            <w:pPr>
              <w:pStyle w:val="Compact"/>
              <w:jc w:val="left"/>
            </w:pPr>
            <w:r>
              <w:t xml:space="preserve">13.7%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60</w:t>
            </w:r>
          </w:p>
        </w:tc>
        <w:tc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t xml:space="preserve">+3.8%</w:t>
            </w:r>
          </w:p>
        </w:tc>
        <w:tc>
          <w:p>
            <w:pPr>
              <w:pStyle w:val="Compact"/>
              <w:jc w:val="left"/>
            </w:pPr>
            <w:r>
              <w:t xml:space="preserve">+13.5%</w:t>
            </w:r>
          </w:p>
        </w:tc>
        <w:tc>
          <w:p>
            <w:pPr>
              <w:pStyle w:val="Compact"/>
              <w:jc w:val="left"/>
            </w:pPr>
            <w:r>
              <w:t xml:space="preserve">+14.2%</w:t>
            </w:r>
          </w:p>
        </w:tc>
        <w:tc>
          <w:p>
            <w:pPr>
              <w:pStyle w:val="Compact"/>
              <w:jc w:val="left"/>
            </w:pPr>
            <w:r>
              <w:t xml:space="preserve">+60.6%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+45.0%</w:t>
            </w:r>
          </w:p>
        </w:tc>
        <w:tc>
          <w:p>
            <w:pPr>
              <w:pStyle w:val="Compact"/>
              <w:jc w:val="left"/>
            </w:pPr>
            <w:r>
              <w:t xml:space="preserve">9.0%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30</w:t>
            </w:r>
          </w:p>
        </w:tc>
        <w:tc>
          <w:p>
            <w:pPr>
              <w:pStyle w:val="Compact"/>
              <w:jc w:val="left"/>
            </w:pPr>
            <w:r>
              <w:t xml:space="preserve">+0.1%</w:t>
            </w:r>
          </w:p>
        </w:tc>
        <w:tc>
          <w:p>
            <w:pPr>
              <w:pStyle w:val="Compact"/>
              <w:jc w:val="left"/>
            </w:pPr>
            <w:r>
              <w:t xml:space="preserve">+2.0%</w:t>
            </w:r>
          </w:p>
        </w:tc>
        <w:tc>
          <w:p>
            <w:pPr>
              <w:pStyle w:val="Compact"/>
              <w:jc w:val="left"/>
            </w:pPr>
            <w:r>
              <w:t xml:space="preserve">+7.4%</w:t>
            </w:r>
          </w:p>
        </w:tc>
        <w:tc>
          <w:p>
            <w:pPr>
              <w:pStyle w:val="Compact"/>
              <w:jc w:val="left"/>
            </w:pPr>
            <w:r>
              <w:t xml:space="preserve">+8.7%</w:t>
            </w:r>
          </w:p>
        </w:tc>
        <w:tc>
          <w:p>
            <w:pPr>
              <w:pStyle w:val="Compact"/>
              <w:jc w:val="left"/>
            </w:pPr>
            <w:r>
              <w:t xml:space="preserve">+32.6%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+15.0%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채권</w:t>
            </w:r>
          </w:p>
        </w:tc>
        <w:tc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t xml:space="preserve">+1.7%</w:t>
            </w:r>
          </w:p>
        </w:tc>
        <w:tc>
          <w:p>
            <w:pPr>
              <w:pStyle w:val="Compact"/>
              <w:jc w:val="left"/>
            </w:pPr>
            <w:r>
              <w:t xml:space="preserve">+3.2%</w:t>
            </w:r>
          </w:p>
        </w:tc>
        <w:tc>
          <w:p>
            <w:pPr>
              <w:pStyle w:val="Compact"/>
              <w:jc w:val="left"/>
            </w:pPr>
            <w:r>
              <w:t xml:space="preserve">+11.3%</w:t>
            </w:r>
          </w:p>
        </w:tc>
        <w:tc>
          <w:p>
            <w:pPr>
              <w:pStyle w:val="Compact"/>
              <w:jc w:val="left"/>
            </w:pPr>
            <w:r>
              <w:t xml:space="preserve">−4.7%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+10.6%</w:t>
            </w:r>
          </w:p>
        </w:tc>
        <w:tc>
          <w:p>
            <w:pPr>
              <w:pStyle w:val="Compact"/>
              <w:jc w:val="left"/>
            </w:pPr>
            <w:r>
              <w:t xml:space="preserve">2.5%</w:t>
            </w:r>
          </w:p>
        </w:tc>
      </w:tr>
    </w:tbl>
    <w:p>
      <w:pPr>
        <w:pStyle w:val="BodyText"/>
      </w:pPr>
      <w:r>
        <w:t xml:space="preserve">ETF MVP는 수시 리밸런싱 구조로 글로벌MVP시리즈 대비 자본시장 대응 속도에서 우위를 보입니다. Q1 주식 ETF 포트폴리오 주요 구성은 국내(TIGER반도체TOP10 6.8%, K방산&amp;우주 1.5%) + 글로벌AI(Defense Tech 7.9%, AI전력인프라 5.4%) + 미국(Invesco Nasdaq 100 14.4%, SPDR S&amp;P 500 11.7%)입니다.</w:t>
      </w:r>
    </w:p>
    <w:p>
      <w:pPr>
        <w:pStyle w:val="Heading3"/>
      </w:pPr>
      <w:bookmarkStart w:id="34" w:name="etf-ai-mvp-시그널-및-성과"/>
      <w:r>
        <w:t xml:space="preserve">3-2. ETF AI MVP 시그널 및 성과</w:t>
      </w:r>
      <w:bookmarkEnd w:id="34"/>
    </w:p>
    <w:p>
      <w:pPr>
        <w:pStyle w:val="FirstParagraph"/>
      </w:pPr>
      <w:r>
        <w:rPr>
          <w:b/>
        </w:rPr>
        <w:t xml:space="preserve">Q4 2025 AI 시그널</w:t>
      </w:r>
      <w:r>
        <w:t xml:space="preserve"> </w:t>
      </w:r>
      <w:r>
        <w:t xml:space="preserve">(2025.10~12): 3개월 연속</w:t>
      </w:r>
      <w:r>
        <w:t xml:space="preserve"> </w:t>
      </w:r>
      <w:r>
        <w:rPr>
          <w:b/>
        </w:rPr>
        <w:t xml:space="preserve">Base</w:t>
      </w:r>
      <w:r>
        <w:t xml:space="preserve"> </w:t>
      </w:r>
      <w:r>
        <w:t xml:space="preserve">→ 적극형 주식 75% · 중립형 주식 45% 유지.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펀드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AI MVP (적극)</w:t>
            </w:r>
          </w:p>
        </w:tc>
        <w:tc>
          <w:p>
            <w:pPr>
              <w:pStyle w:val="Compact"/>
              <w:jc w:val="left"/>
            </w:pPr>
            <w:r>
              <w:t xml:space="preserve">−0.3%</w:t>
            </w:r>
          </w:p>
        </w:tc>
        <w:tc>
          <w:p>
            <w:pPr>
              <w:pStyle w:val="Compact"/>
              <w:jc w:val="left"/>
            </w:pPr>
            <w:r>
              <w:t xml:space="preserve">+5.2%</w:t>
            </w:r>
          </w:p>
        </w:tc>
        <w:tc>
          <w:p>
            <w:pPr>
              <w:pStyle w:val="Compact"/>
              <w:jc w:val="left"/>
            </w:pPr>
            <w:r>
              <w:t xml:space="preserve">+16.4%</w:t>
            </w:r>
          </w:p>
        </w:tc>
        <w:tc>
          <w:p>
            <w:pPr>
              <w:pStyle w:val="Compact"/>
              <w:jc w:val="left"/>
            </w:pPr>
            <w:r>
              <w:t xml:space="preserve">+15.0%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+55.0%</w:t>
            </w:r>
          </w:p>
        </w:tc>
        <w:tc>
          <w:p>
            <w:pPr>
              <w:pStyle w:val="Compact"/>
              <w:jc w:val="left"/>
            </w:pPr>
            <w:r>
              <w:t xml:space="preserve">10.4%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AI MVP (중립)</w:t>
            </w:r>
          </w:p>
        </w:tc>
        <w:tc>
          <w:p>
            <w:pPr>
              <w:pStyle w:val="Compact"/>
              <w:jc w:val="left"/>
            </w:pPr>
            <w:r>
              <w:t xml:space="preserve">−0.3%</w:t>
            </w:r>
          </w:p>
        </w:tc>
        <w:tc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p>
            <w:pPr>
              <w:pStyle w:val="Compact"/>
              <w:jc w:val="left"/>
            </w:pPr>
            <w:r>
              <w:t xml:space="preserve">+10.5%</w:t>
            </w:r>
          </w:p>
        </w:tc>
        <w:tc>
          <w:p>
            <w:pPr>
              <w:pStyle w:val="Compact"/>
              <w:jc w:val="left"/>
            </w:pPr>
            <w:r>
              <w:t xml:space="preserve">+9.4%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+28.6%</w:t>
            </w:r>
          </w:p>
        </w:tc>
        <w:tc>
          <w:p>
            <w:pPr>
              <w:pStyle w:val="Compact"/>
              <w:jc w:val="left"/>
            </w:pPr>
            <w:r>
              <w:t xml:space="preserve">6.9%</w:t>
            </w:r>
          </w:p>
        </w:tc>
      </w:tr>
    </w:tbl>
    <w:p>
      <w:pPr>
        <w:pStyle w:val="BodyText"/>
      </w:pPr>
      <w:r>
        <w:t xml:space="preserve">AI 시그널은 매월 말 기준 향후 25영업일을 예측합니다. Q4 2025 Base 시그널은 글로벌 불확실성 대비 중립 포지션을 유지하였으며, 이는 결과적으로 Q1 호르무즈 충격 전후의 변동성을 일부 완충하는 효과를 거두었습니다.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글로벌mvp주식형-q1-top-10-종목-comment"/>
      <w:r>
        <w:t xml:space="preserve">4. 글로벌MVP주식형 — Q1 Top 10 종목 Comment</w:t>
      </w:r>
      <w:bookmarkEnd w:id="35"/>
    </w:p>
    <w:p>
      <w:pPr>
        <w:pStyle w:val="FirstParagraph"/>
      </w:pPr>
      <w:r>
        <w:rPr>
          <w:i/>
        </w:rPr>
        <w:t xml:space="preserve">(기준: 2026년 1월말 포트폴리오 / 2026년 2월말 성과)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1M 성과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이슈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Samsung Electronics</w:t>
            </w:r>
          </w:p>
        </w:tc>
        <w:tc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p>
            <w:pPr>
              <w:pStyle w:val="Compact"/>
              <w:jc w:val="left"/>
            </w:pPr>
            <w:r>
              <w:t xml:space="preserve">+35%</w:t>
            </w:r>
          </w:p>
        </w:tc>
        <w:tc>
          <w:p>
            <w:pPr>
              <w:pStyle w:val="Compact"/>
              <w:jc w:val="left"/>
            </w:pPr>
            <w:r>
              <w:t xml:space="preserve">엔비디아향 HBM4 첫 상용 출하, 갤럭시 S26 공개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 Hynix</w:t>
            </w:r>
          </w:p>
        </w:tc>
        <w:tc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p>
            <w:pPr>
              <w:pStyle w:val="Compact"/>
              <w:jc w:val="left"/>
            </w:pPr>
            <w:r>
              <w:t xml:space="preserve">+18%</w:t>
            </w:r>
          </w:p>
        </w:tc>
        <w:tc>
          <w:p>
            <w:pPr>
              <w:pStyle w:val="Compact"/>
              <w:jc w:val="left"/>
            </w:pPr>
            <w:r>
              <w:t xml:space="preserve">CAPEX 대폭 확대 공시, HBF 표준화 추진, 용인 팹 21.6조원 투자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Alphabet A</w:t>
            </w:r>
          </w:p>
        </w:tc>
        <w:tc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p>
            <w:pPr>
              <w:pStyle w:val="Compact"/>
              <w:jc w:val="left"/>
            </w:pPr>
            <w:r>
              <w:t xml:space="preserve">−8%</w:t>
            </w:r>
          </w:p>
        </w:tc>
        <w:tc>
          <w:p>
            <w:pPr>
              <w:pStyle w:val="Compact"/>
              <w:jc w:val="left"/>
            </w:pPr>
            <w:r>
              <w:t xml:space="preserve">100년물 채권 발행($10B+), Gemini 3 Deep Think 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p>
            <w:pPr>
              <w:pStyle w:val="Compact"/>
              <w:jc w:val="left"/>
            </w:pPr>
            <w:r>
              <w:t xml:space="preserve">−7%</w:t>
            </w:r>
          </w:p>
        </w:tc>
        <w:tc>
          <w:p>
            <w:pPr>
              <w:pStyle w:val="Compact"/>
              <w:jc w:val="left"/>
            </w:pPr>
            <w:r>
              <w:t xml:space="preserve">Q4 매출 +73% YoY($68.1B), 가이던스 $78B (예상 상회)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Meta Platforms</w:t>
            </w:r>
          </w:p>
        </w:tc>
        <w:tc>
          <w:p>
            <w:pPr>
              <w:pStyle w:val="Compact"/>
              <w:jc w:val="left"/>
            </w:pPr>
            <w:r>
              <w:t xml:space="preserve">2.3%</w:t>
            </w:r>
          </w:p>
        </w:tc>
        <w:tc>
          <w:p>
            <w:pPr>
              <w:pStyle w:val="Compact"/>
              <w:jc w:val="left"/>
            </w:pPr>
            <w:r>
              <w:t xml:space="preserve">−10%</w:t>
            </w:r>
          </w:p>
        </w:tc>
        <w:tc>
          <w:p>
            <w:pPr>
              <w:pStyle w:val="Compact"/>
              <w:jc w:val="left"/>
            </w:pPr>
            <w:r>
              <w:t xml:space="preserve">AMD와 6GW 데이터센터 계약, AI 자체칩(올림푸스) 개발 중단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TSMC ADR</w:t>
            </w:r>
          </w:p>
        </w:tc>
        <w:tc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p>
            <w:pPr>
              <w:pStyle w:val="Compact"/>
              <w:jc w:val="left"/>
            </w:pPr>
            <w:r>
              <w:t xml:space="preserve">+13%</w:t>
            </w:r>
          </w:p>
        </w:tc>
        <w:tc>
          <w:p>
            <w:pPr>
              <w:pStyle w:val="Compact"/>
              <w:jc w:val="left"/>
            </w:pPr>
            <w:r>
              <w:t xml:space="preserve">1월 매출 +37% YoY, 2026 CAPEX 560억달러(+25%)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Broadcom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p>
            <w:pPr>
              <w:pStyle w:val="Compact"/>
              <w:jc w:val="left"/>
            </w:pPr>
            <w:r>
              <w:t xml:space="preserve">−4%</w:t>
            </w:r>
          </w:p>
        </w:tc>
        <w:tc>
          <w:p>
            <w:pPr>
              <w:pStyle w:val="Compact"/>
              <w:jc w:val="left"/>
            </w:pPr>
            <w:r>
              <w:t xml:space="preserve">3D 적층 칩 100만개 2027년 판매 목표, EU 반독점 조사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Netflix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p>
            <w:pPr>
              <w:pStyle w:val="Compact"/>
              <w:jc w:val="left"/>
            </w:pPr>
            <w:r>
              <w:t xml:space="preserve">파라마운트·워너 인수전 포기(위약금 28억달러 수취)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ASML</w:t>
            </w:r>
          </w:p>
        </w:tc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p>
            <w:pPr>
              <w:pStyle w:val="Compact"/>
              <w:jc w:val="left"/>
            </w:pPr>
            <w:r>
              <w:t xml:space="preserve">일본 TSMC 3nm 팹 → EUV 20~25대 추가 수요, 차세대 장비 $4억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Micron Technology</w:t>
            </w:r>
          </w:p>
        </w:tc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left"/>
            </w:pPr>
            <w:r>
              <w:t xml:space="preserve">−1%</w:t>
            </w:r>
          </w:p>
        </w:tc>
        <w:tc>
          <w:p>
            <w:pPr>
              <w:pStyle w:val="Compact"/>
              <w:jc w:val="left"/>
            </w:pPr>
            <w:r>
              <w:t xml:space="preserve">HBM4 고객사 인도 시작, 2026년 HBM 완판, 일정 1분기 단축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월-시장-전개-q1-이후-3.5주-업데이트"/>
      <w:r>
        <w:t xml:space="preserve">5. 4월 시장 전개 — Q1 이후 3.5주 업데이트</w:t>
      </w:r>
      <w:bookmarkEnd w:id="36"/>
    </w:p>
    <w:p>
      <w:pPr>
        <w:pStyle w:val="Heading3"/>
      </w:pPr>
      <w:bookmarkStart w:id="37" w:name="주요-자산군-성과-비교-기준-2026-01-02-2026-04-24"/>
      <w:r>
        <w:t xml:space="preserve">5-1. 주요 자산군 성과 비교 (기준: 2026-01-02 → 2026-04-24)</w:t>
      </w:r>
      <w:bookmarkEnd w:id="3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말(3/31)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4/24 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4월 MTD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YTD(1/2→4/24)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p>
            <w:pPr>
              <w:pStyle w:val="Compact"/>
              <w:jc w:val="left"/>
            </w:pPr>
            <w:r>
              <w:t xml:space="preserve">5,052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6,475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+18.20%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+50.26%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KOSDAQ</w:t>
            </w:r>
          </w:p>
        </w:tc>
        <w:tc>
          <w:p>
            <w:pPr>
              <w:pStyle w:val="Compact"/>
              <w:jc w:val="left"/>
            </w:pPr>
            <w:r>
              <w:t xml:space="preserve">1,052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1,203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+7.85%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+27.31%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S&amp;P500</w:t>
            </w:r>
          </w:p>
        </w:tc>
        <w:tc>
          <w:p>
            <w:pPr>
              <w:pStyle w:val="Compact"/>
              <w:jc w:val="left"/>
            </w:pPr>
            <w:r>
              <w:t xml:space="preserve">6,528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7,165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+8.97%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+4.47%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NASDAQ</w:t>
            </w:r>
          </w:p>
        </w:tc>
        <w:tc>
          <w:p>
            <w:pPr>
              <w:pStyle w:val="Compact"/>
              <w:jc w:val="left"/>
            </w:pPr>
            <w:r>
              <w:t xml:space="preserve">21,590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24,836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+13.72%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+6.89%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Brent(</w:t>
            </w:r>
            <m:oMath>
              <m:r>
                <m:t>/</m:t>
              </m:r>
              <m:r>
                <m:t>b</m:t>
              </m:r>
              <m:r>
                <m:t>b</m:t>
              </m:r>
              <m:r>
                <m:t>l</m:t>
              </m:r>
              <m:r>
                <m:t>)</m:t>
              </m:r>
              <m:r>
                <m:t>|</m:t>
              </m:r>
              <m:r>
                <m:t>118.35</m:t>
              </m:r>
              <m:r>
                <m:t>|</m:t>
              </m:r>
              <m:r>
                <m:t>*</m:t>
              </m:r>
              <m:r>
                <m:t>*</m:t>
              </m:r>
              <m:r>
                <m:t>99.13</m:t>
              </m:r>
              <m:r>
                <m:t>*</m:t>
              </m:r>
              <m:r>
                <m:t>*</m:t>
              </m:r>
              <m:r>
                <m:t>|</m:t>
              </m:r>
              <m:r>
                <m:t>*</m:t>
              </m:r>
              <m:r>
                <m:t>*</m:t>
              </m:r>
              <m:r>
                <m:t>−</m:t>
              </m:r>
              <m:r>
                <m:t>2.01</m:t>
              </m:r>
            </m:oMath>
            <w:r>
              <w:t xml:space="preserve">/bbl)</w:t>
            </w:r>
          </w:p>
        </w:tc>
        <w:tc>
          <w:p>
            <w:pPr>
              <w:pStyle w:val="Compact"/>
              <w:jc w:val="left"/>
            </w:pPr>
            <w:r>
              <w:t xml:space="preserve">101.38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94.40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−5.71%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+64.69%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Gold($/oz)</w:t>
            </w:r>
          </w:p>
        </w:tc>
        <w:tc>
          <w:p>
            <w:pPr>
              <w:pStyle w:val="Compact"/>
              <w:jc w:val="left"/>
            </w:pPr>
            <w:r>
              <w:t xml:space="preserve">4,678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4,740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−1.50%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+9.50%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USD/KRW</w:t>
            </w:r>
          </w:p>
        </w:tc>
        <w:tc>
          <w:p>
            <w:pPr>
              <w:pStyle w:val="Compact"/>
              <w:jc w:val="left"/>
            </w:pPr>
            <w:r>
              <w:t xml:space="preserve">1,506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1,476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−2.40%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+2.37%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VIX</w:t>
            </w:r>
          </w:p>
        </w:tc>
        <w:tc>
          <w:p>
            <w:pPr>
              <w:pStyle w:val="Compact"/>
              <w:jc w:val="left"/>
            </w:pPr>
            <w:r>
              <w:t xml:space="preserve">25.25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−23.76%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+28.95%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 10Y</w:t>
            </w:r>
          </w:p>
        </w:tc>
        <w:tc>
          <w:p>
            <w:pPr>
              <w:pStyle w:val="Compact"/>
              <w:jc w:val="left"/>
            </w:pPr>
            <w:r>
              <w:t xml:space="preserve">4.31%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4.31%</w:t>
            </w:r>
          </w:p>
        </w:tc>
        <w:tc>
          <w:p>
            <w:pPr>
              <w:pStyle w:val="Compact"/>
              <w:jc w:val="left"/>
            </w:pPr>
            <w:r>
              <w:t xml:space="preserve">0bp</w:t>
            </w:r>
          </w:p>
        </w:tc>
        <w:tc>
          <w:p>
            <w:pPr>
              <w:pStyle w:val="Compact"/>
              <w:jc w:val="left"/>
            </w:pPr>
            <w:r>
              <w:t xml:space="preserve">+12bp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 3Y</w:t>
            </w:r>
          </w:p>
        </w:tc>
        <w:tc>
          <w:p>
            <w:pPr>
              <w:pStyle w:val="Compact"/>
              <w:jc w:val="left"/>
            </w:pPr>
            <w:r>
              <w:t xml:space="preserve">3.55%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3.50%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−5bp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+57bp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Samsung Electronics</w:t>
            </w:r>
          </w:p>
        </w:tc>
        <w:tc>
          <w:p>
            <w:pPr>
              <w:pStyle w:val="Compact"/>
              <w:jc w:val="left"/>
            </w:pPr>
            <w:r>
              <w:t xml:space="preserve">167,200원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219,500원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+15.74%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+70.82%</w:t>
            </w:r>
          </w:p>
        </w:tc>
      </w:tr>
    </w:tbl>
    <w:p>
      <w:pPr>
        <w:pStyle w:val="Heading3"/>
      </w:pPr>
      <w:bookmarkStart w:id="38" w:name="월을-관통한-4개-국면"/>
      <w:r>
        <w:t xml:space="preserve">5-2. 4월을 관통한 4개 국면</w:t>
      </w:r>
      <w:bookmarkEnd w:id="38"/>
    </w:p>
    <w:p>
      <w:pPr>
        <w:pStyle w:val="FirstParagraph"/>
      </w:pPr>
      <w:r>
        <w:rPr>
          <w:b/>
        </w:rPr>
        <w:t xml:space="preserve">국면 ①: 극적 반전 (4/1~4/3)</w:t>
      </w:r>
      <w:r>
        <w:t xml:space="preserve"> </w:t>
      </w:r>
      <w:r>
        <w:t xml:space="preserve">3월 말 TurboQuant 공포로 −5.16% 급락하며 분기를 마감한 Samsung이, 4월 첫날</w:t>
      </w:r>
      <w:r>
        <w:t xml:space="preserve"> </w:t>
      </w:r>
      <w:r>
        <w:rPr>
          <w:b/>
        </w:rPr>
        <w:t xml:space="preserve">+13.43%</w:t>
      </w:r>
      <w:r>
        <w:t xml:space="preserve"> </w:t>
      </w:r>
      <w:r>
        <w:t xml:space="preserve">역사적 반등을 기록했습니다. 정부 2.5조 원 채권 바이백 + 미-이란 휴전 협상 진전 + TurboQuant 과장 분석이 동시에 작용한 결과였습니다. KOSPI는 당일</w:t>
      </w:r>
      <w:r>
        <w:t xml:space="preserve"> </w:t>
      </w:r>
      <w:r>
        <w:rPr>
          <w:b/>
        </w:rPr>
        <w:t xml:space="preserve">+8.44%</w:t>
      </w:r>
      <w:r>
        <w:t xml:space="preserve">를 기록하며 한국 증시 역대 상위권 일간 상승을 기록했습니다. 그러나 이틀 뒤(4/2) KOSPI는</w:t>
      </w:r>
      <w:r>
        <w:t xml:space="preserve"> </w:t>
      </w:r>
      <w:r>
        <w:rPr>
          <w:b/>
        </w:rPr>
        <w:t xml:space="preserve">−7.14%</w:t>
      </w:r>
      <w:r>
        <w:t xml:space="preserve"> </w:t>
      </w:r>
      <w:r>
        <w:t xml:space="preserve">재폭락, 미국도 −3.51%로 동반 하락하는 극심한 변동성이 이어졌습니다.</w:t>
      </w:r>
    </w:p>
    <w:p>
      <w:pPr>
        <w:pStyle w:val="BodyText"/>
      </w:pPr>
      <w:r>
        <w:rPr>
          <w:b/>
        </w:rPr>
        <w:t xml:space="preserve">국면 ②: 삼성 실적 + 이란 휴전 더블 호재 (4/7~4/10)</w:t>
      </w:r>
      <w:r>
        <w:t xml:space="preserve"> </w:t>
      </w:r>
      <w:r>
        <w:t xml:space="preserve">4/6 삼성전자 사상 최대 실적 발표 직후, 트럼프 대통령이 이란에 대한 군사 위협을 고조시켰습니다. 그러나 4/7 미국 세션 마감 후</w:t>
      </w:r>
      <w:r>
        <w:t xml:space="preserve"> </w:t>
      </w:r>
      <w:r>
        <w:rPr>
          <w:b/>
        </w:rPr>
        <w:t xml:space="preserve">트럼프-이란 2주 휴전</w:t>
      </w:r>
      <w:r>
        <w:t xml:space="preserve"> </w:t>
      </w:r>
      <w:r>
        <w:t xml:space="preserve">발표 + 삼성 역대급 실적이 동시에 확인되면서, 4/8 글로벌 증시는 일제 폭등했습니다(KOSPI +6.87%, 다우 +1,300pt). Brent유는 이틀 만에</w:t>
      </w:r>
      <w:r>
        <w:t xml:space="preserve"> </w:t>
      </w:r>
      <w:r>
        <w:rPr>
          <w:b/>
        </w:rPr>
        <w:t xml:space="preserve">−28%</w:t>
      </w:r>
      <w:r>
        <w:t xml:space="preserve"> </w:t>
      </w:r>
      <w:r>
        <w:t xml:space="preserve">급락(지정학 프리미엄 해소). 이 한 주에 KOSPI는 주간 +10.39%를 기록하며 글로벌 리더로 올라섰습니다.</w:t>
      </w:r>
    </w:p>
    <w:p>
      <w:pPr>
        <w:pStyle w:val="BodyText"/>
      </w:pPr>
      <w:r>
        <w:rPr>
          <w:b/>
        </w:rPr>
        <w:t xml:space="preserve">국면 ③: 협상 재결렬 → S&amp;P500 사상 최고치 (4/13~4/17)</w:t>
      </w:r>
      <w:r>
        <w:t xml:space="preserve"> </w:t>
      </w:r>
      <w:r>
        <w:t xml:space="preserve">4/13 이슬라마바드 협상 결렬 + 미국 해상봉쇄 선언으로 공포가 재점화됐지만, 4/14 트럼프 조건부 봉쇄 해제 제안 → 4/15</w:t>
      </w:r>
      <w:r>
        <w:t xml:space="preserve"> </w:t>
      </w:r>
      <w:r>
        <w:t xml:space="preserve">“</w:t>
      </w:r>
      <w:r>
        <w:t xml:space="preserve">전쟁 거의 끝났다</w:t>
      </w:r>
      <w:r>
        <w:t xml:space="preserve">”</w:t>
      </w:r>
      <w:r>
        <w:t xml:space="preserve"> </w:t>
      </w:r>
      <w:r>
        <w:t xml:space="preserve">발언으로 S&amp;P500이</w:t>
      </w:r>
      <w:r>
        <w:t xml:space="preserve"> </w:t>
      </w:r>
      <w:r>
        <w:rPr>
          <w:b/>
        </w:rPr>
        <w:t xml:space="preserve">사상 최고치(7,007)</w:t>
      </w:r>
      <w:r>
        <w:t xml:space="preserve">를 돌파했습니다. 4/16 S&amp;P500은</w:t>
      </w:r>
      <w:r>
        <w:t xml:space="preserve"> </w:t>
      </w:r>
      <w:r>
        <w:rPr>
          <w:b/>
        </w:rPr>
        <w:t xml:space="preserve">사상 첫 7,000 돌파</w:t>
      </w:r>
      <w:r>
        <w:t xml:space="preserve">, 4/17 이란</w:t>
      </w:r>
      <w:r>
        <w:t xml:space="preserve"> </w:t>
      </w:r>
      <w:r>
        <w:t xml:space="preserve">“</w:t>
      </w:r>
      <w:r>
        <w:t xml:space="preserve">호르무즈 개방</w:t>
      </w:r>
      <w:r>
        <w:t xml:space="preserve">”</w:t>
      </w:r>
      <w:r>
        <w:t xml:space="preserve"> </w:t>
      </w:r>
      <w:r>
        <w:t xml:space="preserve">선언으로 WTI</w:t>
      </w:r>
      <w:r>
        <w:t xml:space="preserve"> </w:t>
      </w:r>
      <w:r>
        <w:rPr>
          <w:b/>
        </w:rPr>
        <w:t xml:space="preserve">−11%</w:t>
      </w:r>
      <w:r>
        <w:t xml:space="preserve"> </w:t>
      </w:r>
      <w:r>
        <w:t xml:space="preserve">폭락과 함께 미국 증시 3연속 사상 최고치를 기록했습니다. KOSPI 역시 4/15 6,091로 월간 신고점을 경신했습니다.</w:t>
      </w:r>
    </w:p>
    <w:p>
      <w:pPr>
        <w:pStyle w:val="BodyText"/>
      </w:pPr>
      <w:r>
        <w:rPr>
          <w:b/>
        </w:rPr>
        <w:t xml:space="preserve">국면 ④: 화물선 나포 재긴장 + 빅테크 어닝 (4/20~4/24)</w:t>
      </w:r>
      <w:r>
        <w:t xml:space="preserve"> </w:t>
      </w:r>
      <w:r>
        <w:t xml:space="preserve">4/20 이란의 미국 화물선</w:t>
      </w:r>
      <w:r>
        <w:t xml:space="preserve"> </w:t>
      </w:r>
      <w:r>
        <w:t xml:space="preserve">‘</w:t>
      </w:r>
      <w:r>
        <w:t xml:space="preserve">투스카</w:t>
      </w:r>
      <w:r>
        <w:t xml:space="preserve">’</w:t>
      </w:r>
      <w:r>
        <w:t xml:space="preserve"> </w:t>
      </w:r>
      <w:r>
        <w:t xml:space="preserve">나포로 정전 파탄 위기가 재연됐지만, 4/21 KOSPI는 반도체 수출</w:t>
      </w:r>
      <w:r>
        <w:t xml:space="preserve"> </w:t>
      </w:r>
      <w:r>
        <w:rPr>
          <w:b/>
        </w:rPr>
        <w:t xml:space="preserve">+183%</w:t>
      </w:r>
      <w:r>
        <w:t xml:space="preserve"> </w:t>
      </w:r>
      <w:r>
        <w:t xml:space="preserve">+ 외국인 2.5조 원 순매수에 힘입어</w:t>
      </w:r>
      <w:r>
        <w:t xml:space="preserve"> </w:t>
      </w:r>
      <w:r>
        <w:rPr>
          <w:b/>
        </w:rPr>
        <w:t xml:space="preserve">사상 최고치 6,388</w:t>
      </w:r>
      <w:r>
        <w:t xml:space="preserve">을 경신했습니다. 4/22 트럼프 정전 연장 선언으로 KOSPI·S&amp;P500·NASDAQ 동시 사상 최고치(트리플 신고가)를 기록했고, 4/23 한국 1분기 GDP</w:t>
      </w:r>
      <w:r>
        <w:t xml:space="preserve"> </w:t>
      </w:r>
      <w:r>
        <w:rPr>
          <w:b/>
        </w:rPr>
        <w:t xml:space="preserve">+1.7%</w:t>
      </w:r>
      <w:r>
        <w:t xml:space="preserve">(예상의 두 배) 서프라이즈가 KOSPI 사흘 연속 사상 최고치를 뒷받침했습니다. 4/24 아마존·메타·구글 실적 서프라이즈로 NASDAQ +1.63%로 한 주를 마감했으며, Brent는</w:t>
      </w:r>
      <w:r>
        <w:t xml:space="preserve"> </w:t>
      </w:r>
      <w:r>
        <w:rPr>
          <w:b/>
        </w:rPr>
        <w:t xml:space="preserve">−6.44%</w:t>
      </w:r>
      <w:r>
        <w:t xml:space="preserve"> </w:t>
      </w:r>
      <w:r>
        <w:t xml:space="preserve">급락하며 $99 아래로 내려왔습니다.</w:t>
      </w:r>
    </w:p>
    <w:p>
      <w:pPr>
        <w:pStyle w:val="Heading3"/>
      </w:pPr>
      <w:bookmarkStart w:id="39" w:name="주요-4월-데이터-포인트"/>
      <w:r>
        <w:t xml:space="preserve">5-3. 주요 4월 데이터 포인트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시장 반응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</w:t>
            </w:r>
          </w:p>
        </w:tc>
        <w:tc>
          <w:p>
            <w:pPr>
              <w:pStyle w:val="Compact"/>
              <w:jc w:val="left"/>
            </w:pPr>
            <w:r>
              <w:t xml:space="preserve">정부 채권 바이백 2.5조 원 + 이란 휴전 협상 진전</w:t>
            </w:r>
          </w:p>
        </w:tc>
        <w:tc>
          <w:p>
            <w:pPr>
              <w:pStyle w:val="Compact"/>
              <w:jc w:val="left"/>
            </w:pPr>
            <w:r>
              <w:t xml:space="preserve">KOSPI +8.44%, Samsung +13.43%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</w:t>
            </w:r>
          </w:p>
        </w:tc>
        <w:tc>
          <w:p>
            <w:pPr>
              <w:pStyle w:val="Compact"/>
              <w:jc w:val="left"/>
            </w:pPr>
            <w:r>
              <w:t xml:space="preserve">시장 패닉 재연 (지정학 불확실성 잔존)</w:t>
            </w:r>
          </w:p>
        </w:tc>
        <w:tc>
          <w:p>
            <w:pPr>
              <w:pStyle w:val="Compact"/>
              <w:jc w:val="left"/>
            </w:pPr>
            <w:r>
              <w:t xml:space="preserve">KOSPI −7.14%, S&amp;P500 −3.51%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4/6</w:t>
            </w:r>
          </w:p>
        </w:tc>
        <w:tc>
          <w:p>
            <w:pPr>
              <w:pStyle w:val="Compact"/>
              <w:jc w:val="left"/>
            </w:pPr>
            <w:r>
              <w:t xml:space="preserve">삼성전자 Q1 실적 (사상 최대, 영업이익 57.2조원 수준)</w:t>
            </w:r>
          </w:p>
        </w:tc>
        <w:tc>
          <w:p>
            <w:pPr>
              <w:pStyle w:val="Compact"/>
              <w:jc w:val="left"/>
            </w:pPr>
            <w:r>
              <w:t xml:space="preserve">긍정적 선반영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4/7</w:t>
            </w:r>
          </w:p>
        </w:tc>
        <w:tc>
          <w:p>
            <w:pPr>
              <w:pStyle w:val="Compact"/>
              <w:jc w:val="left"/>
            </w:pPr>
            <w:r>
              <w:t xml:space="preserve">트럼프-이란 2주 휴전 합의 + 삼성 실적 확인</w:t>
            </w:r>
          </w:p>
        </w:tc>
        <w:tc>
          <w:p>
            <w:pPr>
              <w:pStyle w:val="Compact"/>
              <w:jc w:val="left"/>
            </w:pPr>
            <w:r>
              <w:t xml:space="preserve">WTI −16%, 글로벌 증시 일제 급등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4/8</w:t>
            </w:r>
          </w:p>
        </w:tc>
        <w:tc>
          <w:p>
            <w:pPr>
              <w:pStyle w:val="Compact"/>
              <w:jc w:val="left"/>
            </w:pPr>
            <w:r>
              <w:t xml:space="preserve">더블 호재 최고점</w:t>
            </w:r>
          </w:p>
        </w:tc>
        <w:tc>
          <w:p>
            <w:pPr>
              <w:pStyle w:val="Compact"/>
              <w:jc w:val="left"/>
            </w:pPr>
            <w:r>
              <w:t xml:space="preserve">KOSPI +6.87%, 다우 +1,300pt, Brent −14%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4/14</w:t>
            </w:r>
          </w:p>
        </w:tc>
        <w:tc>
          <w:p>
            <w:pPr>
              <w:pStyle w:val="Compact"/>
              <w:jc w:val="left"/>
            </w:pPr>
            <w:r>
              <w:t xml:space="preserve">트럼프 봉쇄 조건부 해제 제안</w:t>
            </w:r>
          </w:p>
        </w:tc>
        <w:tc>
          <w:p>
            <w:pPr>
              <w:pStyle w:val="Compact"/>
              <w:jc w:val="left"/>
            </w:pPr>
            <w:r>
              <w:t xml:space="preserve">WTI −12.7% 역사적 급락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4/15</w:t>
            </w:r>
          </w:p>
        </w:tc>
        <w:tc>
          <w:p>
            <w:pPr>
              <w:pStyle w:val="Compact"/>
              <w:jc w:val="left"/>
            </w:pPr>
            <w:r>
              <w:t xml:space="preserve">트럼프</w:t>
            </w:r>
            <w:r>
              <w:t xml:space="preserve"> </w:t>
            </w:r>
            <w:r>
              <w:t xml:space="preserve">“</w:t>
            </w:r>
            <w:r>
              <w:t xml:space="preserve">전쟁 거의 끝났다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S&amp;P500 사상 최고치(7,007), KOSPI 6,091 신고점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4/16</w:t>
            </w:r>
          </w:p>
        </w:tc>
        <w:tc>
          <w:p>
            <w:pPr>
              <w:pStyle w:val="Compact"/>
              <w:jc w:val="left"/>
            </w:pPr>
            <w:r>
              <w:t xml:space="preserve">S&amp;P500 사상 첫 7,000 돌파</w:t>
            </w:r>
          </w:p>
        </w:tc>
        <w:tc>
          <w:p>
            <w:pPr>
              <w:pStyle w:val="Compact"/>
              <w:jc w:val="left"/>
            </w:pPr>
            <w:r>
              <w:t xml:space="preserve">NASDAQ 역대 최고치 동반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4/17</w:t>
            </w:r>
          </w:p>
        </w:tc>
        <w:tc>
          <w:p>
            <w:pPr>
              <w:pStyle w:val="Compact"/>
              <w:jc w:val="left"/>
            </w:pPr>
            <w:r>
              <w:t xml:space="preserve">이란 호르무즈 개방 선언</w:t>
            </w:r>
          </w:p>
        </w:tc>
        <w:tc>
          <w:p>
            <w:pPr>
              <w:pStyle w:val="Compact"/>
              <w:jc w:val="left"/>
            </w:pPr>
            <w:r>
              <w:t xml:space="preserve">WTI −11%, 미국 3연속 사상 최고치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4/21</w:t>
            </w:r>
          </w:p>
        </w:tc>
        <w:tc>
          <w:p>
            <w:pPr>
              <w:pStyle w:val="Compact"/>
              <w:jc w:val="left"/>
            </w:pPr>
            <w:r>
              <w:t xml:space="preserve">반도체 수출 +183% + 외국인 2.5조 순매수</w:t>
            </w:r>
          </w:p>
        </w:tc>
        <w:tc>
          <w:p>
            <w:pPr>
              <w:pStyle w:val="Compact"/>
              <w:jc w:val="left"/>
            </w:pPr>
            <w:r>
              <w:t xml:space="preserve">KOSPI 사상 최고치 6,388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4/22</w:t>
            </w:r>
          </w:p>
        </w:tc>
        <w:tc>
          <w:p>
            <w:pPr>
              <w:pStyle w:val="Compact"/>
              <w:jc w:val="left"/>
            </w:pPr>
            <w:r>
              <w:t xml:space="preserve">트럼프 정전 연장 + 호르무즈 선박 나포</w:t>
            </w:r>
          </w:p>
        </w:tc>
        <w:tc>
          <w:p>
            <w:pPr>
              <w:pStyle w:val="Compact"/>
              <w:jc w:val="left"/>
            </w:pPr>
            <w:r>
              <w:t xml:space="preserve">KOSPI·S&amp;P500·NASDAQ 트리플 신고가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4/23</w:t>
            </w:r>
          </w:p>
        </w:tc>
        <w:tc>
          <w:p>
            <w:pPr>
              <w:pStyle w:val="Compact"/>
              <w:jc w:val="left"/>
            </w:pPr>
            <w:r>
              <w:t xml:space="preserve">한국 Q1 GDP +1.7% (예상치 +0.8% 두 배)</w:t>
            </w:r>
          </w:p>
        </w:tc>
        <w:tc>
          <w:p>
            <w:pPr>
              <w:pStyle w:val="Compact"/>
              <w:jc w:val="left"/>
            </w:pPr>
            <w:r>
              <w:t xml:space="preserve">KOSPI 사흘 연속 사상 최고치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4/24</w:t>
            </w:r>
          </w:p>
        </w:tc>
        <w:tc>
          <w:p>
            <w:pPr>
              <w:pStyle w:val="Compact"/>
              <w:jc w:val="left"/>
            </w:pPr>
            <w:r>
              <w:t xml:space="preserve">아마존·메타·구글 실적 서프라이즈</w:t>
            </w:r>
          </w:p>
        </w:tc>
        <w:tc>
          <w:p>
            <w:pPr>
              <w:pStyle w:val="Compact"/>
              <w:jc w:val="left"/>
            </w:pPr>
            <w:r>
              <w:t xml:space="preserve">NASDAQ +1.63%, Brent −6.44%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q1-전략-사후-검증-4월-현재-시점의-평가"/>
      <w:r>
        <w:t xml:space="preserve">6. Q1 전략 사후 검증 — 4월 현재 시점의 평가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전략 결정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결과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4월 현재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인프라 집중(SaaS 비중 축소)</w:t>
            </w:r>
          </w:p>
        </w:tc>
        <w:tc>
          <w:p>
            <w:pPr>
              <w:pStyle w:val="Compact"/>
              <w:jc w:val="left"/>
            </w:pPr>
            <w:r>
              <w:t xml:space="preserve">TurboQuant 쇼크로 3월 단기 역풍</w:t>
            </w:r>
          </w:p>
        </w:tc>
        <w:tc>
          <w:p>
            <w:pPr>
              <w:pStyle w:val="Compact"/>
              <w:jc w:val="left"/>
            </w:pPr>
            <w:r>
              <w:t xml:space="preserve">4월 빅테크(Amazon +18%, Google +10%) 실적 서프라이즈로 전략 방향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국내 반도체·방산 OW</w:t>
            </w:r>
          </w:p>
        </w:tc>
        <w:tc>
          <w:p>
            <w:pPr>
              <w:pStyle w:val="Compact"/>
              <w:jc w:val="left"/>
            </w:pPr>
            <w:r>
              <w:t xml:space="preserve">3월 외국인 35조 매도로 단기 타격</w:t>
            </w:r>
          </w:p>
        </w:tc>
        <w:tc>
          <w:p>
            <w:pPr>
              <w:pStyle w:val="Compact"/>
              <w:jc w:val="left"/>
            </w:pPr>
            <w:r>
              <w:t xml:space="preserve">4월 외국인 복귀(2.5조 순매수), Samsung +30.4%, 반도체 수출 +183%로 전략 검증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 5%P 추가</w:t>
            </w:r>
          </w:p>
        </w:tc>
        <w:tc>
          <w:p>
            <w:pPr>
              <w:pStyle w:val="Compact"/>
              <w:jc w:val="left"/>
            </w:pPr>
            <w:r>
              <w:t xml:space="preserve">Q1 +6.66% 기여</w:t>
            </w:r>
          </w:p>
        </w:tc>
        <w:tc>
          <w:p>
            <w:pPr>
              <w:pStyle w:val="Compact"/>
              <w:jc w:val="left"/>
            </w:pPr>
            <w:r>
              <w:t xml:space="preserve">4월 −1.5% MTD. 지정학 해소 국면에서 상대 부진 — 비중 재점검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EM채권 증액</w:t>
            </w:r>
          </w:p>
        </w:tc>
        <w:tc>
          <w:p>
            <w:pPr>
              <w:pStyle w:val="Compact"/>
              <w:jc w:val="left"/>
            </w:pPr>
            <w:r>
              <w:t xml:space="preserve">원화 1,506원 고환경에서 비용 부담</w:t>
            </w:r>
          </w:p>
        </w:tc>
        <w:tc>
          <w:p>
            <w:pPr>
              <w:pStyle w:val="Compact"/>
              <w:jc w:val="left"/>
            </w:pPr>
            <w:r>
              <w:t xml:space="preserve">4월 원화 1,476원으로 강세 전환, 환차익 발생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MMF 유동성 강화</w:t>
            </w:r>
          </w:p>
        </w:tc>
        <w:tc>
          <w:p>
            <w:pPr>
              <w:pStyle w:val="Compact"/>
              <w:jc w:val="left"/>
            </w:pPr>
            <w:r>
              <w:t xml:space="preserve">3월 변동성 완충에 기여</w:t>
            </w:r>
          </w:p>
        </w:tc>
        <w:tc>
          <w:p>
            <w:pPr>
              <w:pStyle w:val="Compact"/>
              <w:jc w:val="left"/>
            </w:pPr>
            <w:r>
              <w:t xml:space="preserve">4월 랠리 참여 제한 — 기회비용 발생</w:t>
            </w:r>
          </w:p>
        </w:tc>
      </w:tr>
    </w:tbl>
    <w:p>
      <w:pPr>
        <w:pStyle w:val="Heading3"/>
      </w:pPr>
      <w:bookmarkStart w:id="41" w:name="q1-전략의-핵심-교훈-4월-시점-재평가"/>
      <w:r>
        <w:t xml:space="preserve">Q1 전략의 핵심 교훈 (4월 시점 재평가)</w:t>
      </w:r>
      <w:bookmarkEnd w:id="41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AI 인프라 집중 전략은 옳았다</w:t>
      </w:r>
      <w:r>
        <w:t xml:space="preserve">: 3월 TurboQuant 공포는 일시적 패닉이었고, 4월 아마존·구글·메타의 실적 서프라이즈가 AI 인프라 투자 사이클이 여전히 살아있음을 확인했습니다.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한국 반도체 구조적 비중은 유효하다</w:t>
      </w:r>
      <w:r>
        <w:t xml:space="preserve">: Q1 말 최대 위기 상황에서도 4월에 삼성전자 YTD +70.8%, KOSPI YTD +50.3%로 복귀하며 전략의 유효성을 확인했습니다.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지정학 노이즈는 과대평가하지 말 것</w:t>
      </w:r>
      <w:r>
        <w:t xml:space="preserve">: 호르무즈 봉쇄라는 사상 초유의 사태도 약 3~4주의 협상 끝에 해소되었으며, 극단적 공포 구간이 오히려 매수 기회였습니다.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2-전망-재점검-4월-현재-시점"/>
      <w:r>
        <w:t xml:space="preserve">7. Q2 전망 재점검 — 4월 현재 시점</w:t>
      </w:r>
      <w:bookmarkEnd w:id="42"/>
    </w:p>
    <w:p>
      <w:pPr>
        <w:pStyle w:val="Heading3"/>
      </w:pPr>
      <w:bookmarkStart w:id="43" w:name="q1-정본-전망의-적중률"/>
      <w:r>
        <w:t xml:space="preserve">7-1. Q1 정본 전망의 적중률</w:t>
      </w:r>
      <w:bookmarkEnd w:id="43"/>
    </w:p>
    <w:p>
      <w:pPr>
        <w:pStyle w:val="FirstParagraph"/>
      </w:pPr>
      <w:r>
        <w:t xml:space="preserve">Q1 정본(3/31 기준) 에서 제시한 Q2 시나리오를 4/24 현재 시점에서 점검합니다.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정본 전망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 결과(4/24 기준)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KOSPI 4,800~5,200 박스권</w:t>
            </w:r>
          </w:p>
        </w:tc>
        <w:tc>
          <w:p>
            <w:pPr>
              <w:pStyle w:val="Compact"/>
              <w:jc w:val="left"/>
            </w:pPr>
            <w:r>
              <w:t xml:space="preserve">실제 6,475 (목표 대폭 상향)</w:t>
            </w:r>
          </w:p>
        </w:tc>
        <w:tc>
          <w:p>
            <w:pPr>
              <w:pStyle w:val="Compact"/>
              <w:jc w:val="left"/>
            </w:pPr>
            <w:r>
              <w:t xml:space="preserve">✗ 과소 예측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S&amp;P500 6,400~6,700</w:t>
            </w:r>
          </w:p>
        </w:tc>
        <w:tc>
          <w:p>
            <w:pPr>
              <w:pStyle w:val="Compact"/>
              <w:jc w:val="left"/>
            </w:pPr>
            <w:r>
              <w:t xml:space="preserve">실제 7,165 (사상 최고치 경신)</w:t>
            </w:r>
          </w:p>
        </w:tc>
        <w:tc>
          <w:p>
            <w:pPr>
              <w:pStyle w:val="Compact"/>
              <w:jc w:val="left"/>
            </w:pPr>
            <w:r>
              <w:t xml:space="preserve">✗ 과소 예측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USD/KRW 1,490~1,520</w:t>
            </w:r>
          </w:p>
        </w:tc>
        <w:tc>
          <w:p>
            <w:pPr>
              <w:pStyle w:val="Compact"/>
              <w:jc w:val="left"/>
            </w:pPr>
            <w:r>
              <w:t xml:space="preserve">실제 1,476 (원화 강세)</w:t>
            </w:r>
          </w:p>
        </w:tc>
        <w:tc>
          <w:p>
            <w:pPr>
              <w:pStyle w:val="Compact"/>
              <w:jc w:val="left"/>
            </w:pPr>
            <w:r>
              <w:t xml:space="preserve">△ 하단 하향 이탈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Base: 유가 $95~110 박스권</w:t>
            </w:r>
          </w:p>
        </w:tc>
        <w:tc>
          <w:p>
            <w:pPr>
              <w:pStyle w:val="Compact"/>
              <w:jc w:val="left"/>
            </w:pPr>
            <w:r>
              <w:t xml:space="preserve">실제 WTI $94 (하단 하향 이탈)</w:t>
            </w:r>
          </w:p>
        </w:tc>
        <w:tc>
          <w:p>
            <w:pPr>
              <w:pStyle w:val="Compact"/>
              <w:jc w:val="left"/>
            </w:pPr>
            <w:r>
              <w:t xml:space="preserve">△ 호르무즈 해소로 예상보다 빠른 하락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Bear: VIX 35 이상</w:t>
            </w:r>
          </w:p>
        </w:tc>
        <w:tc>
          <w:p>
            <w:pPr>
              <w:pStyle w:val="Compact"/>
              <w:jc w:val="left"/>
            </w:pPr>
            <w:r>
              <w:t xml:space="preserve">실제 VIX 18.71 (정상화)</w:t>
            </w:r>
          </w:p>
        </w:tc>
        <w:tc>
          <w:p>
            <w:pPr>
              <w:pStyle w:val="Compact"/>
              <w:jc w:val="left"/>
            </w:pPr>
            <w:r>
              <w:t xml:space="preserve">✗ Bear 시나리오 미실현</w:t>
            </w:r>
          </w:p>
        </w:tc>
      </w:tr>
    </w:tbl>
    <w:p>
      <w:pPr>
        <w:pStyle w:val="BodyText"/>
      </w:pPr>
      <w:r>
        <w:rPr>
          <w:b/>
        </w:rPr>
        <w:t xml:space="preserve">총평</w:t>
      </w:r>
      <w:r>
        <w:t xml:space="preserve">: Q1 정본의 시나리오 설정이 전반적으로 지나치게 보수적이었습니다. 이란 전쟁 리스크가 4월 초~중순에 급속히 해소되면서, Base 시나리오를 뛰어넘어 Bull 시나리오에 가까운 결과가 나왔습니다.</w:t>
      </w:r>
    </w:p>
    <w:p>
      <w:pPr>
        <w:pStyle w:val="Heading3"/>
      </w:pPr>
      <w:bookmarkStart w:id="44" w:name="업데이트된-q2-잔여-전망-2026-04-24-기준"/>
      <w:r>
        <w:t xml:space="preserve">7-2. 업데이트된 Q2 잔여 전망 (2026-04-24 기준)</w:t>
      </w:r>
      <w:bookmarkEnd w:id="44"/>
    </w:p>
    <w:p>
      <w:pPr>
        <w:pStyle w:val="FirstParagraph"/>
      </w:pPr>
      <w:r>
        <w:rPr>
          <w:b/>
        </w:rPr>
        <w:t xml:space="preserve">현재 시장 컨텍스트</w:t>
      </w:r>
      <w:r>
        <w:t xml:space="preserve">:</w:t>
      </w:r>
      <w:r>
        <w:t xml:space="preserve"> </w:t>
      </w:r>
      <w:r>
        <w:t xml:space="preserve">- 호르무즈 정전은 유지되고 있으나 선박 나포 사건이 반복(4/20, 4/22)되며 완전 해소는 아직 미확인</w:t>
      </w:r>
      <w:r>
        <w:t xml:space="preserve"> </w:t>
      </w:r>
      <w:r>
        <w:t xml:space="preserve">- 빅테크 Q1 실적 시즌 진행 중 (아마존·메타·구글 서프라이즈, 소프트웨어 일부 실망)</w:t>
      </w:r>
      <w:r>
        <w:t xml:space="preserve"> </w:t>
      </w:r>
      <w:r>
        <w:t xml:space="preserve">- KOSPI 사상 최고권, S&amp;P500 사상 최고치 → 단기 과열 경계 필요</w:t>
      </w:r>
    </w:p>
    <w:p>
      <w:pPr>
        <w:pStyle w:val="BodyText"/>
      </w:pPr>
      <w:r>
        <w:rPr>
          <w:b/>
        </w:rPr>
        <w:t xml:space="preserve">5월 핵심 이벤트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FOMC 5월 회의</w:t>
            </w:r>
          </w:p>
        </w:tc>
        <w:tc>
          <w:p>
            <w:pPr>
              <w:pStyle w:val="Compact"/>
              <w:jc w:val="left"/>
            </w:pPr>
            <w:r>
              <w:t xml:space="preserve">호르무즈 해소 + 유가 하락 반영 → 금리 경로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한국 수출 데이터 지속 확인</w:t>
            </w:r>
          </w:p>
        </w:tc>
        <w:tc>
          <w:p>
            <w:pPr>
              <w:pStyle w:val="Compact"/>
              <w:jc w:val="left"/>
            </w:pPr>
            <w:r>
              <w:t xml:space="preserve">반도체 수출 +183% 트렌드 지속 여부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이란-미국 최종 협상 타결 여부</w:t>
            </w:r>
          </w:p>
        </w:tc>
        <w:tc>
          <w:p>
            <w:pPr>
              <w:pStyle w:val="Compact"/>
              <w:jc w:val="left"/>
            </w:pPr>
            <w:r>
              <w:t xml:space="preserve">유가 $90 이하 안착 시 인플레 우려 추가 완화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Q1 실적</w:t>
            </w:r>
          </w:p>
        </w:tc>
        <w:tc>
          <w:p>
            <w:pPr>
              <w:pStyle w:val="Compact"/>
              <w:jc w:val="left"/>
            </w:pPr>
            <w:r>
              <w:t xml:space="preserve">AI 인프라 사이클 최종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삼성전자 2분기 가이던스</w:t>
            </w:r>
          </w:p>
        </w:tc>
        <w:tc>
          <w:p>
            <w:pPr>
              <w:pStyle w:val="Compact"/>
              <w:jc w:val="left"/>
            </w:pPr>
            <w:r>
              <w:t xml:space="preserve">HBM4 수요 가시성 확인</w:t>
            </w:r>
          </w:p>
        </w:tc>
      </w:tr>
    </w:tbl>
    <w:p>
      <w:pPr>
        <w:pStyle w:val="Heading3"/>
      </w:pPr>
      <w:bookmarkStart w:id="45" w:name="현재-포지셔닝-시사점"/>
      <w:r>
        <w:t xml:space="preserve">7-3. 현재 포지셔닝 시사점</w:t>
      </w:r>
      <w:bookmarkEnd w:id="45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국내주식 — OW 유지, 밸류에이션 점검</w:t>
      </w:r>
      <w:r>
        <w:t xml:space="preserve">: KOSPI PER 26.8배(2026-04-24)로 Q1 말(21.0배) 대비 밸류에이션이 크게 확대. 이익 성장이 뒷받침되는지 분기 실적 확인 중요.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미국주식 — 반도체/광고/클라우드 강세 확인, SW 차별화</w:t>
      </w:r>
      <w:r>
        <w:t xml:space="preserve">: 4월 아마존 +18%, 알파벳 +10%, 메타 강세 vs. 소프트웨어(ServiceNow, Salesforce 계열) 실망. AI 직접 수혜 vs. AI 위협 차별화 심화.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유가/에너지 — $90~$100 박스권 안착 여부 주목</w:t>
      </w:r>
      <w:r>
        <w:t xml:space="preserve">: Brent $99(4/24)로 $100 이하 진입. 완전한 호르무즈 해소가 확인되면 $80대 하락도 가능. 에너지 비중 축소 타이밍 점검.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채권 — 금리 안정 국면 진입 확인</w:t>
      </w:r>
      <w:r>
        <w:t xml:space="preserve">: US 10Y 4.31% 보합, KR 3Y 3.50%로 Q1 고점 대비 안정. 호르무즈 해소에 따른 인플레 우려 완화로 듀레이션 소폭 확대 검토 가능.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원화 — 1,476원, 추가 강세 가능성</w:t>
      </w:r>
      <w:r>
        <w:t xml:space="preserve">: 반도체 수출 호황 + 외국인 순매수 지속 시 1,450원대 진입 시나리오. 환헤지 비율 조정 검토.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운용-메모-확장판"/>
      <w:r>
        <w:t xml:space="preserve">8. 운용 메모 (확장판)</w:t>
      </w:r>
      <w:bookmarkEnd w:id="46"/>
    </w:p>
    <w:p>
      <w:pPr>
        <w:pStyle w:val="BlockText"/>
      </w:pPr>
      <w:r>
        <w:t xml:space="preserve">“</w:t>
      </w:r>
      <w:r>
        <w:t xml:space="preserve">Q1의 공포가 Q2의 기회였습니다.</w:t>
      </w:r>
      <w:r>
        <w:t xml:space="preserve">”</w:t>
      </w:r>
      <w:r>
        <w:t xml:space="preserve"> </w:t>
      </w:r>
      <w:r>
        <w:t xml:space="preserve">— 2026 Q1 MVP 확장판, 고객자산운용팀</w:t>
      </w:r>
    </w:p>
    <w:p>
      <w:pPr>
        <w:pStyle w:val="FirstParagraph"/>
      </w:pPr>
      <w:r>
        <w:t xml:space="preserve">Q1 정본에서 우리는</w:t>
      </w:r>
      <w:r>
        <w:t xml:space="preserve"> </w:t>
      </w:r>
      <w:r>
        <w:t xml:space="preserve">“</w:t>
      </w:r>
      <w:r>
        <w:t xml:space="preserve">분산과 시그널 기반 유연성이 MVP의 핵심 경쟁력</w:t>
      </w:r>
      <w:r>
        <w:t xml:space="preserve">”</w:t>
      </w:r>
      <w:r>
        <w:t xml:space="preserve">이라고 마무리했습니다. 4월 전개는 그 명제를 강렬하게 검증했습니다.</w:t>
      </w:r>
    </w:p>
    <w:p>
      <w:pPr>
        <w:pStyle w:val="BodyText"/>
      </w:pPr>
      <w:r>
        <w:t xml:space="preserve">3월 말 외국인 35조 원 매도, TurboQuant 쇼크, VIX 25 상승이라는 최악의 국면에서 AI 인프라 집중·국내 반도체 OW·골드 헤지를 유지한 전략은, 4월 KOSPI +18.2%·삼성전자 +15.7%·S&amp;P500 +9.0%의 랠리에서 비로소 정당성을 확인받았습니다.</w:t>
      </w:r>
    </w:p>
    <w:p>
      <w:pPr>
        <w:pStyle w:val="BodyText"/>
      </w:pPr>
      <w:r>
        <w:t xml:space="preserve">특히 주목할 것은</w:t>
      </w:r>
      <w:r>
        <w:t xml:space="preserve"> </w:t>
      </w:r>
      <w:r>
        <w:rPr>
          <w:b/>
        </w:rPr>
        <w:t xml:space="preserve">한국 GDP +1.7% 서프라이즈(4/23)</w:t>
      </w:r>
      <w:r>
        <w:t xml:space="preserve">입니다. 이는 단순한 지정학 반등이 아니라 한국 경제 펀더멘털의 실질적 개선을 보여주는 데이터입니다. 반도체 수출 +183%, 외국인 순매수 재개, GDP 서프라이즈가 3중으로 확인된 지금, Q1에 설정한 한국 구조적 비중 확대 전략은 Q2에도 유효한 방향입니다.</w:t>
      </w:r>
    </w:p>
    <w:p>
      <w:pPr>
        <w:pStyle w:val="BodyText"/>
      </w:pPr>
      <w:r>
        <w:t xml:space="preserve">다만,</w:t>
      </w:r>
      <w:r>
        <w:t xml:space="preserve"> </w:t>
      </w:r>
      <w:r>
        <w:rPr>
          <w:b/>
        </w:rPr>
        <w:t xml:space="preserve">KOSPI PER 26.8배라는 밸류에이션 확대</w:t>
      </w:r>
      <w:r>
        <w:t xml:space="preserve">는 향후 성장률 기대가 이익으로 뒷받침되지 않으면 되돌림 리스크가 될 수 있습니다. Q2 잔여 기간은</w:t>
      </w:r>
      <w:r>
        <w:t xml:space="preserve"> </w:t>
      </w:r>
      <w:r>
        <w:t xml:space="preserve">“</w:t>
      </w:r>
      <w:r>
        <w:t xml:space="preserve">추세 추종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이익 확인 후 비중 관리</w:t>
      </w:r>
      <w:r>
        <w:t xml:space="preserve">”</w:t>
      </w:r>
      <w:r>
        <w:t xml:space="preserve">의 전략이 적절한 시점입니다.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미래에셋생명보험㈜ 고객자산운용팀이 작성하였으며, 투자 결과에 대한 법적 책임의 증빙자료로 사용될 수 없습니다. 과거 성과는 미래 수익을 보장하지 않습니다.</w:t>
      </w:r>
      <w:r>
        <w:t xml:space="preserve"> </w:t>
      </w:r>
      <w:r>
        <w:rPr>
          <w:i/>
        </w:rPr>
        <w:t xml:space="preserve">준법감시인심의필-26-01-013 (2026.01.13 ~ 2027.01.12)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2026-04-26T14:23:20Z</dcterms:created>
  <dcterms:modified xsi:type="dcterms:W3CDTF">2026-04-26T14:23:20Z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