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43B72"/>
          <w:sz w:val="16"/>
        </w:rPr>
        <w:t>MIRAE ASSET VARIABLE INSURANCE · MVP</w:t>
      </w:r>
    </w:p>
    <w:p>
      <w:r>
        <w:rPr>
          <w:b/>
          <w:color w:val="043B72"/>
          <w:sz w:val="36"/>
        </w:rPr>
        <w:t>2026년 1분기 MVP 운용 보고서</w:t>
      </w:r>
    </w:p>
    <w:p>
      <w:r>
        <w:rPr>
          <w:color w:val="6B7FA3"/>
          <w:sz w:val="17"/>
        </w:rPr>
        <w:t>기준일 2026-03-31 · 작성일 2026-04-26 · 고객자산운용팀</w:t>
      </w:r>
    </w:p>
    <w:p/>
    <w:p>
      <w:pPr>
        <w:spacing w:before="240"/>
      </w:pPr>
      <w:r>
        <w:rPr>
          <w:b/>
          <w:color w:val="043B72"/>
          <w:sz w:val="24"/>
        </w:rPr>
        <w:t>2026년 1분기 운용 보고서</w:t>
      </w:r>
    </w:p>
    <w:p>
      <w:pPr>
        <w:spacing w:after="60"/>
      </w:pPr>
      <w:r>
        <w:t>작성일 2026-04-26 · 기준일 2026-03-31 · 작성 고객자산운용팀 (AI혁신팀 협업)</w:t>
      </w:r>
    </w:p>
    <w:p/>
    <w:p>
      <w:pPr>
        <w:spacing w:before="240"/>
      </w:pPr>
      <w:r>
        <w:rPr>
          <w:b/>
          <w:color w:val="043B72"/>
          <w:sz w:val="24"/>
        </w:rPr>
        <w:t>1. Q1 시장 환경 요약</w:t>
      </w:r>
    </w:p>
    <w:p>
      <w:r>
        <w:rPr>
          <w:b/>
          <w:color w:val="043B72"/>
          <w:sz w:val="19"/>
        </w:rPr>
        <w:t>헤드라인</w:t>
      </w:r>
    </w:p>
    <w:p>
      <w:pPr>
        <w:spacing w:after="60"/>
      </w:pPr>
      <w:r>
        <w:t>2026년 1분기는 한 분기 안에 "AI 공급자 랠리" 와 "지정학·유가 패닉" 이 순차적으로 충돌한 극단적 자산 분화의 분기였습니다. KOSPI +19.89% · S&amp;P500 −5.33% · Brent +91.13% · VIX +76.20% 라는 숫자가 Q1의 정체성을 압축합니다.</w:t>
      </w:r>
    </w:p>
    <w:p>
      <w:r>
        <w:rPr>
          <w:b/>
          <w:color w:val="043B72"/>
          <w:sz w:val="19"/>
        </w:rPr>
        <w:t>분기를 관통한 3개 이벤트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043B72"/>
          </w:tcPr>
          <w:p>
            <w:r>
              <w:rPr>
                <w:b/>
                <w:color w:val="FFFFFF"/>
                <w:sz w:val="16"/>
              </w:rPr>
              <w:t>이벤트</w:t>
            </w:r>
          </w:p>
        </w:tc>
        <w:tc>
          <w:tcPr>
            <w:tcW w:type="dxa" w:w="3249"/>
            <w:shd w:val="clear" w:color="auto" w:fill="043B72"/>
          </w:tcPr>
          <w:p>
            <w:r>
              <w:rPr>
                <w:b/>
                <w:color w:val="FFFFFF"/>
                <w:sz w:val="16"/>
              </w:rPr>
              <w:t>시기</w:t>
            </w:r>
          </w:p>
        </w:tc>
        <w:tc>
          <w:tcPr>
            <w:tcW w:type="dxa" w:w="3249"/>
            <w:shd w:val="clear" w:color="auto" w:fill="043B72"/>
          </w:tcPr>
          <w:p>
            <w:r>
              <w:rPr>
                <w:b/>
                <w:color w:val="FFFFFF"/>
                <w:sz w:val="16"/>
              </w:rPr>
              <w:t>시장 충격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  <w:t>HBM 슈퍼사이클 + Samsung 반도체 랠리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1~2월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KOSPI +48.2%(YTD 2월 말), Samsung +80.6%</w:t>
            </w:r>
          </w:p>
        </w:tc>
      </w:tr>
      <w:tr>
        <w:tc>
          <w:tcPr>
            <w:tcW w:type="dxa" w:w="3249"/>
            <w:shd w:val="clear" w:color="auto" w:fill="F5F8FC"/>
          </w:tcPr>
          <w:p>
            <w:r>
              <w:rPr>
                <w:sz w:val="17"/>
              </w:rPr>
              <w:t>호르무즈 봉쇄 · 이란-미국 긴장</w:t>
            </w:r>
          </w:p>
        </w:tc>
        <w:tc>
          <w:tcPr>
            <w:tcW w:type="dxa" w:w="3249"/>
            <w:shd w:val="clear" w:color="auto" w:fill="F5F8FC"/>
          </w:tcPr>
          <w:p>
            <w:r>
              <w:rPr>
                <w:sz w:val="17"/>
              </w:rPr>
              <w:t>3월 전반</w:t>
            </w:r>
          </w:p>
        </w:tc>
        <w:tc>
          <w:tcPr>
            <w:tcW w:type="dxa" w:w="3249"/>
            <w:shd w:val="clear" w:color="auto" w:fill="F5F8FC"/>
          </w:tcPr>
          <w:p>
            <w:r>
              <w:rPr>
                <w:sz w:val="17"/>
              </w:rPr>
              <w:t>Brent +91.13%(분기), 원화 1,510원 돌파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  <w:t>구글 TurboQuant 반도체 쇼크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3월 말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외국인 35조원 순매도(역대 최대), Samsung −22.77%(3월)</w:t>
            </w:r>
          </w:p>
        </w:tc>
      </w:tr>
    </w:tbl>
    <w:p/>
    <w:p>
      <w:r>
        <w:rPr>
          <w:b/>
          <w:color w:val="043B72"/>
          <w:sz w:val="19"/>
        </w:rPr>
        <w:t>주요 자산군 성과 (2026-01-02 → 2026-03-31)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043B72"/>
          </w:tcPr>
          <w:p>
            <w:r>
              <w:rPr>
                <w:b/>
                <w:color w:val="FFFFFF"/>
                <w:sz w:val="16"/>
              </w:rPr>
              <w:t>자산</w:t>
            </w:r>
          </w:p>
        </w:tc>
        <w:tc>
          <w:tcPr>
            <w:tcW w:type="dxa" w:w="2436"/>
            <w:shd w:val="clear" w:color="auto" w:fill="043B72"/>
          </w:tcPr>
          <w:p>
            <w:r>
              <w:rPr>
                <w:b/>
                <w:color w:val="FFFFFF"/>
                <w:sz w:val="16"/>
              </w:rPr>
              <w:t>분기 시작</w:t>
            </w:r>
          </w:p>
        </w:tc>
        <w:tc>
          <w:tcPr>
            <w:tcW w:type="dxa" w:w="2436"/>
            <w:shd w:val="clear" w:color="auto" w:fill="043B72"/>
          </w:tcPr>
          <w:p>
            <w:r>
              <w:rPr>
                <w:b/>
                <w:color w:val="FFFFFF"/>
                <w:sz w:val="16"/>
              </w:rPr>
              <w:t>분기 종료</w:t>
            </w:r>
          </w:p>
        </w:tc>
        <w:tc>
          <w:tcPr>
            <w:tcW w:type="dxa" w:w="2436"/>
            <w:shd w:val="clear" w:color="auto" w:fill="043B72"/>
          </w:tcPr>
          <w:p>
            <w:r>
              <w:rPr>
                <w:b/>
                <w:color w:val="FFFFFF"/>
                <w:sz w:val="16"/>
              </w:rPr>
              <w:t>등락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  <w:t>KOSPI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4,214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5,052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**+19.89%**</w:t>
            </w:r>
          </w:p>
        </w:tc>
      </w:tr>
      <w:tr>
        <w:tc>
          <w:tcPr>
            <w:tcW w:type="dxa" w:w="2436"/>
            <w:shd w:val="clear" w:color="auto" w:fill="F5F8FC"/>
          </w:tcPr>
          <w:p>
            <w:r>
              <w:rPr>
                <w:sz w:val="17"/>
              </w:rPr>
              <w:t>KOSDAQ</w:t>
            </w:r>
          </w:p>
        </w:tc>
        <w:tc>
          <w:tcPr>
            <w:tcW w:type="dxa" w:w="2436"/>
            <w:shd w:val="clear" w:color="auto" w:fill="F5F8FC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436"/>
            <w:shd w:val="clear" w:color="auto" w:fill="F5F8FC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436"/>
            <w:shd w:val="clear" w:color="auto" w:fill="F5F8FC"/>
          </w:tcPr>
          <w:p>
            <w:r>
              <w:rPr>
                <w:sz w:val="17"/>
              </w:rPr>
              <w:t>**+13.71%**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  <w:t>S&amp;P500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6,896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6,528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**−5.33%**</w:t>
            </w:r>
          </w:p>
        </w:tc>
      </w:tr>
      <w:tr>
        <w:tc>
          <w:tcPr>
            <w:tcW w:type="dxa" w:w="2436"/>
            <w:shd w:val="clear" w:color="auto" w:fill="F5F8FC"/>
          </w:tcPr>
          <w:p>
            <w:r>
              <w:rPr>
                <w:sz w:val="17"/>
              </w:rPr>
              <w:t>NASDAQ</w:t>
            </w:r>
          </w:p>
        </w:tc>
        <w:tc>
          <w:tcPr>
            <w:tcW w:type="dxa" w:w="2436"/>
            <w:shd w:val="clear" w:color="auto" w:fill="F5F8FC"/>
          </w:tcPr>
          <w:p>
            <w:r>
              <w:rPr>
                <w:sz w:val="17"/>
              </w:rPr>
              <w:t>23,419</w:t>
            </w:r>
          </w:p>
        </w:tc>
        <w:tc>
          <w:tcPr>
            <w:tcW w:type="dxa" w:w="2436"/>
            <w:shd w:val="clear" w:color="auto" w:fill="F5F8FC"/>
          </w:tcPr>
          <w:p>
            <w:r>
              <w:rPr>
                <w:sz w:val="17"/>
              </w:rPr>
              <w:t>21,590</w:t>
            </w:r>
          </w:p>
        </w:tc>
        <w:tc>
          <w:tcPr>
            <w:tcW w:type="dxa" w:w="2436"/>
            <w:shd w:val="clear" w:color="auto" w:fill="F5F8FC"/>
          </w:tcPr>
          <w:p>
            <w:r>
              <w:rPr>
                <w:sz w:val="17"/>
              </w:rPr>
              <w:t>**−7.81%**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  <w:t>Brent($/bbl)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61.92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118.35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**+91.13%**</w:t>
            </w:r>
          </w:p>
        </w:tc>
      </w:tr>
      <w:tr>
        <w:tc>
          <w:tcPr>
            <w:tcW w:type="dxa" w:w="2436"/>
            <w:shd w:val="clear" w:color="auto" w:fill="F5F8FC"/>
          </w:tcPr>
          <w:p>
            <w:r>
              <w:rPr>
                <w:sz w:val="17"/>
              </w:rPr>
              <w:t>WTI($/bbl)</w:t>
            </w:r>
          </w:p>
        </w:tc>
        <w:tc>
          <w:tcPr>
            <w:tcW w:type="dxa" w:w="2436"/>
            <w:shd w:val="clear" w:color="auto" w:fill="F5F8FC"/>
          </w:tcPr>
          <w:p>
            <w:r>
              <w:rPr>
                <w:sz w:val="17"/>
              </w:rPr>
              <w:t>57.95</w:t>
            </w:r>
          </w:p>
        </w:tc>
        <w:tc>
          <w:tcPr>
            <w:tcW w:type="dxa" w:w="2436"/>
            <w:shd w:val="clear" w:color="auto" w:fill="F5F8FC"/>
          </w:tcPr>
          <w:p>
            <w:r>
              <w:rPr>
                <w:sz w:val="17"/>
              </w:rPr>
              <w:t>101.38</w:t>
            </w:r>
          </w:p>
        </w:tc>
        <w:tc>
          <w:tcPr>
            <w:tcW w:type="dxa" w:w="2436"/>
            <w:shd w:val="clear" w:color="auto" w:fill="F5F8FC"/>
          </w:tcPr>
          <w:p>
            <w:r>
              <w:rPr>
                <w:sz w:val="17"/>
              </w:rPr>
              <w:t>**+74.94%**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  <w:t>Gold($/oz)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4,386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4,678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**+6.66%**</w:t>
            </w:r>
          </w:p>
        </w:tc>
      </w:tr>
      <w:tr>
        <w:tc>
          <w:tcPr>
            <w:tcW w:type="dxa" w:w="2436"/>
            <w:shd w:val="clear" w:color="auto" w:fill="F5F8FC"/>
          </w:tcPr>
          <w:p>
            <w:r>
              <w:rPr>
                <w:sz w:val="17"/>
              </w:rPr>
              <w:t>USD/KRW</w:t>
            </w:r>
          </w:p>
        </w:tc>
        <w:tc>
          <w:tcPr>
            <w:tcW w:type="dxa" w:w="2436"/>
            <w:shd w:val="clear" w:color="auto" w:fill="F5F8FC"/>
          </w:tcPr>
          <w:p>
            <w:r>
              <w:rPr>
                <w:sz w:val="17"/>
              </w:rPr>
              <w:t>1,438</w:t>
            </w:r>
          </w:p>
        </w:tc>
        <w:tc>
          <w:tcPr>
            <w:tcW w:type="dxa" w:w="2436"/>
            <w:shd w:val="clear" w:color="auto" w:fill="F5F8FC"/>
          </w:tcPr>
          <w:p>
            <w:r>
              <w:rPr>
                <w:sz w:val="17"/>
              </w:rPr>
              <w:t>1,506</w:t>
            </w:r>
          </w:p>
        </w:tc>
        <w:tc>
          <w:tcPr>
            <w:tcW w:type="dxa" w:w="2436"/>
            <w:shd w:val="clear" w:color="auto" w:fill="F5F8FC"/>
          </w:tcPr>
          <w:p>
            <w:r>
              <w:rPr>
                <w:sz w:val="17"/>
              </w:rPr>
              <w:t>**+4.75%**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  <w:t>VIX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14.33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25.25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**+76.20%**</w:t>
            </w:r>
          </w:p>
        </w:tc>
      </w:tr>
      <w:tr>
        <w:tc>
          <w:tcPr>
            <w:tcW w:type="dxa" w:w="2436"/>
            <w:shd w:val="clear" w:color="auto" w:fill="F5F8FC"/>
          </w:tcPr>
          <w:p>
            <w:r>
              <w:rPr>
                <w:sz w:val="17"/>
              </w:rPr>
              <w:t>US 10Y</w:t>
            </w:r>
          </w:p>
        </w:tc>
        <w:tc>
          <w:tcPr>
            <w:tcW w:type="dxa" w:w="2436"/>
            <w:shd w:val="clear" w:color="auto" w:fill="F5F8FC"/>
          </w:tcPr>
          <w:p>
            <w:r>
              <w:rPr>
                <w:sz w:val="17"/>
              </w:rPr>
              <w:t>4.13%</w:t>
            </w:r>
          </w:p>
        </w:tc>
        <w:tc>
          <w:tcPr>
            <w:tcW w:type="dxa" w:w="2436"/>
            <w:shd w:val="clear" w:color="auto" w:fill="F5F8FC"/>
          </w:tcPr>
          <w:p>
            <w:r>
              <w:rPr>
                <w:sz w:val="17"/>
              </w:rPr>
              <w:t>4.31%</w:t>
            </w:r>
          </w:p>
        </w:tc>
        <w:tc>
          <w:tcPr>
            <w:tcW w:type="dxa" w:w="2436"/>
            <w:shd w:val="clear" w:color="auto" w:fill="F5F8FC"/>
          </w:tcPr>
          <w:p>
            <w:r>
              <w:rPr>
                <w:sz w:val="17"/>
              </w:rPr>
              <w:t>**+18bp**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  <w:t>KR 3Y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2.95%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3.55%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**+60bp**</w:t>
            </w:r>
          </w:p>
        </w:tc>
      </w:tr>
    </w:tbl>
    <w:p/>
    <w:p>
      <w:r>
        <w:rPr>
          <w:b/>
          <w:color w:val="043B72"/>
          <w:sz w:val="19"/>
        </w:rPr>
        <w:t>월별 흐름</w:t>
      </w:r>
    </w:p>
    <w:p>
      <w:pPr>
        <w:spacing w:after="60"/>
      </w:pPr>
      <w:r>
        <w:t>1월 — "한국 독주의 서막"</w:t>
      </w:r>
    </w:p>
    <w:p>
      <w:pPr>
        <w:spacing w:after="60"/>
      </w:pPr>
      <w:r>
        <w:t>Dec NFP −17K(팬데믹 이후 첫 마이너스) → FOMC 1/28~29 25bp 인하(3.72→3.64%) · QT 사실상 종료. BOJ 0.25→0.50% 인상(엔 캐리 청산 압력). Samsung HBM 수요 기대 + AI 인프라 내러티브로 KOSPI 월간 +23.97%(21세기 역대급). S&amp;P500 +0.62% 제자리와 극단적 디커플링을 기록했습니다.</w:t>
      </w:r>
    </w:p>
    <w:p>
      <w:pPr>
        <w:spacing w:after="60"/>
      </w:pPr>
      <w:r>
        <w:t>2월 — "연속 독주 + 채권·금 피크"</w:t>
      </w:r>
    </w:p>
    <w:p>
      <w:pPr>
        <w:spacing w:after="60"/>
      </w:pPr>
      <w:r>
        <w:t>KOSPI YTD +48.2%·Samsung +80.6% 고점(2/26~27). Core CPI 2.95%로 끈적한 흐름이 이어진 가운데, 채권 랠리(TLT +4.9%)·Gold +10.6%가 동시에 진행되었습니다. Amazon 9일 연속 하락, 중국 빅테크 급조정. 한은 6연속 2.50% 동결, 성장률 2.0%로 상향. VIX 19.86으로 경고 레벨이 상승했습니다.</w:t>
      </w:r>
    </w:p>
    <w:p>
      <w:pPr>
        <w:spacing w:after="60"/>
      </w:pPr>
      <w:r>
        <w:t>3월 — "호르무즈 쇼크 + TurboQuant"</w:t>
      </w:r>
    </w:p>
    <w:p>
      <w:pPr>
        <w:spacing w:after="60"/>
      </w:pPr>
      <w:r>
        <w:t>호르무즈 봉쇄 → Brent 월간 +63%(1988년 이후 최대) → 원/달러 1,510원 돌파(17년 만). FOMC 3/17~18 동결(8:1), "에너지 인플레 시 인상 배제 불가" 매파 전환. 3/25 Google TurboQuant(AI 메모리 6배 절감) 발표 → 외국인 35조원 매도(역대 최대). KOSPI 월간 −19.08%, Samsung −22.77%를 기록하며 분기를 마감했습니다.</w:t>
      </w:r>
    </w:p>
    <w:p/>
    <w:p>
      <w:pPr>
        <w:spacing w:before="240"/>
      </w:pPr>
      <w:r>
        <w:rPr>
          <w:b/>
          <w:color w:val="043B72"/>
          <w:sz w:val="24"/>
        </w:rPr>
        <w:t>2. MVP 포트폴리오 전략 및 변경 내역</w:t>
      </w:r>
    </w:p>
    <w:p>
      <w:r>
        <w:rPr>
          <w:b/>
          <w:color w:val="043B72"/>
          <w:sz w:val="19"/>
        </w:rPr>
        <w:t>2-1. Q1 전략 기조</w:t>
      </w:r>
    </w:p>
    <w:p>
      <w:pPr>
        <w:spacing w:after="60"/>
      </w:pPr>
      <w:r>
        <w:t>MVP는 Q1을 앞두고 세 가지 테마를 중심으로 포트폴리오를 재편하였습니다.</w:t>
      </w:r>
    </w:p>
    <w:p>
      <w:pPr>
        <w:pStyle w:val="ListBullet"/>
      </w:pPr>
      <w:r>
        <w:t>AI 인프라로의 이동 — 전통 SaaS 비중 축소(글로벌IT소프트웨어주식형 −10%P), 파운데이션 모델 보유 빅테크·인프라에 집중(ETF글로벌AI테크 +15%P)</w:t>
      </w:r>
    </w:p>
    <w:p>
      <w:pPr>
        <w:pStyle w:val="ListBullet"/>
      </w:pPr>
      <w:r>
        <w:t>한국 구조적 비중 확대 — 미·중 공급망 재편 수혜주(반도체·전력기기·방산)로 국내 성장형 +10%P</w:t>
      </w:r>
    </w:p>
    <w:p>
      <w:pPr>
        <w:pStyle w:val="ListBullet"/>
      </w:pPr>
      <w:r>
        <w:t>채권 안정성 유지 + 신흥국 인컴 추가 — 이머징마켓채권형 증액, 달러 기반 우량채 중심</w:t>
      </w:r>
    </w:p>
    <w:p>
      <w:r>
        <w:rPr>
          <w:b/>
          <w:color w:val="043B72"/>
          <w:sz w:val="19"/>
        </w:rPr>
        <w:t>2-2. 글로벌MVP시리즈 포트폴리오 현황 (2026-01-01 기준)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043B72"/>
          </w:tcPr>
          <w:p>
            <w:r>
              <w:rPr>
                <w:b/>
                <w:color w:val="FFFFFF"/>
                <w:sz w:val="16"/>
              </w:rPr>
              <w:t>펀드코드</w:t>
            </w:r>
          </w:p>
        </w:tc>
        <w:tc>
          <w:tcPr>
            <w:tcW w:type="dxa" w:w="1949"/>
            <w:shd w:val="clear" w:color="auto" w:fill="043B72"/>
          </w:tcPr>
          <w:p>
            <w:r>
              <w:rPr>
                <w:b/>
                <w:color w:val="FFFFFF"/>
                <w:sz w:val="16"/>
              </w:rPr>
              <w:t>펀드명</w:t>
            </w:r>
          </w:p>
        </w:tc>
        <w:tc>
          <w:tcPr>
            <w:tcW w:type="dxa" w:w="1949"/>
            <w:shd w:val="clear" w:color="auto" w:fill="043B72"/>
          </w:tcPr>
          <w:p>
            <w:r>
              <w:rPr>
                <w:b/>
                <w:color w:val="FFFFFF"/>
                <w:sz w:val="16"/>
              </w:rPr>
              <w:t>MVP주식</w:t>
            </w:r>
          </w:p>
        </w:tc>
        <w:tc>
          <w:tcPr>
            <w:tcW w:type="dxa" w:w="1949"/>
            <w:shd w:val="clear" w:color="auto" w:fill="043B72"/>
          </w:tcPr>
          <w:p>
            <w:r>
              <w:rPr>
                <w:b/>
                <w:color w:val="FFFFFF"/>
                <w:sz w:val="16"/>
              </w:rPr>
              <w:t>MVP60</w:t>
            </w:r>
          </w:p>
        </w:tc>
        <w:tc>
          <w:tcPr>
            <w:tcW w:type="dxa" w:w="1949"/>
            <w:shd w:val="clear" w:color="auto" w:fill="043B72"/>
          </w:tcPr>
          <w:p>
            <w:r>
              <w:rPr>
                <w:b/>
                <w:color w:val="FFFFFF"/>
                <w:sz w:val="16"/>
              </w:rPr>
              <w:t>변동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  <w:t>N1A0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성장형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15.0%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9.0%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+10 / +6</w:t>
            </w:r>
          </w:p>
        </w:tc>
      </w:tr>
      <w:tr>
        <w:tc>
          <w:tcPr>
            <w:tcW w:type="dxa" w:w="1949"/>
            <w:shd w:val="clear" w:color="auto" w:fill="F5F8FC"/>
          </w:tcPr>
          <w:p>
            <w:r>
              <w:rPr>
                <w:sz w:val="17"/>
              </w:rPr>
              <w:t>N1E0</w:t>
            </w:r>
          </w:p>
        </w:tc>
        <w:tc>
          <w:tcPr>
            <w:tcW w:type="dxa" w:w="1949"/>
            <w:shd w:val="clear" w:color="auto" w:fill="F5F8FC"/>
          </w:tcPr>
          <w:p>
            <w:r>
              <w:rPr>
                <w:sz w:val="17"/>
              </w:rPr>
              <w:t>배당주식형</w:t>
            </w:r>
          </w:p>
        </w:tc>
        <w:tc>
          <w:tcPr>
            <w:tcW w:type="dxa" w:w="1949"/>
            <w:shd w:val="clear" w:color="auto" w:fill="F5F8FC"/>
          </w:tcPr>
          <w:p>
            <w:r>
              <w:rPr>
                <w:sz w:val="17"/>
              </w:rPr>
              <w:t>0.0%</w:t>
            </w:r>
          </w:p>
        </w:tc>
        <w:tc>
          <w:tcPr>
            <w:tcW w:type="dxa" w:w="1949"/>
            <w:shd w:val="clear" w:color="auto" w:fill="F5F8FC"/>
          </w:tcPr>
          <w:p>
            <w:r>
              <w:rPr>
                <w:sz w:val="17"/>
              </w:rPr>
              <w:t>0.0%</w:t>
            </w:r>
          </w:p>
        </w:tc>
        <w:tc>
          <w:tcPr>
            <w:tcW w:type="dxa" w:w="1949"/>
            <w:shd w:val="clear" w:color="auto" w:fill="F5F8FC"/>
          </w:tcPr>
          <w:p>
            <w:r>
              <w:rPr>
                <w:sz w:val="17"/>
              </w:rPr>
              <w:t>−5 / −3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  <w:t>N390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ETF글로벌AI테크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35.0%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21.0%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+15 / +9</w:t>
            </w:r>
          </w:p>
        </w:tc>
      </w:tr>
      <w:tr>
        <w:tc>
          <w:tcPr>
            <w:tcW w:type="dxa" w:w="1949"/>
            <w:shd w:val="clear" w:color="auto" w:fill="F5F8FC"/>
          </w:tcPr>
          <w:p>
            <w:r>
              <w:rPr>
                <w:sz w:val="17"/>
              </w:rPr>
              <w:t>N4B0</w:t>
            </w:r>
          </w:p>
        </w:tc>
        <w:tc>
          <w:tcPr>
            <w:tcW w:type="dxa" w:w="1949"/>
            <w:shd w:val="clear" w:color="auto" w:fill="F5F8FC"/>
          </w:tcPr>
          <w:p>
            <w:r>
              <w:rPr>
                <w:sz w:val="17"/>
              </w:rPr>
              <w:t>글로벌성장산업재</w:t>
            </w:r>
          </w:p>
        </w:tc>
        <w:tc>
          <w:tcPr>
            <w:tcW w:type="dxa" w:w="1949"/>
            <w:shd w:val="clear" w:color="auto" w:fill="F5F8FC"/>
          </w:tcPr>
          <w:p>
            <w:r>
              <w:rPr>
                <w:sz w:val="17"/>
              </w:rPr>
              <w:t>17.5%</w:t>
            </w:r>
          </w:p>
        </w:tc>
        <w:tc>
          <w:tcPr>
            <w:tcW w:type="dxa" w:w="1949"/>
            <w:shd w:val="clear" w:color="auto" w:fill="F5F8FC"/>
          </w:tcPr>
          <w:p>
            <w:r>
              <w:rPr>
                <w:sz w:val="17"/>
              </w:rPr>
              <w:t>10.5%</w:t>
            </w:r>
          </w:p>
        </w:tc>
        <w:tc>
          <w:tcPr>
            <w:tcW w:type="dxa" w:w="1949"/>
            <w:shd w:val="clear" w:color="auto" w:fill="F5F8FC"/>
          </w:tcPr>
          <w:p>
            <w:r>
              <w:rPr>
                <w:sz w:val="17"/>
              </w:rPr>
              <w:t>신규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  <w:t>N4D0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글로벌신성장액티브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5.0%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3.0%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신규</w:t>
            </w:r>
          </w:p>
        </w:tc>
      </w:tr>
      <w:tr>
        <w:tc>
          <w:tcPr>
            <w:tcW w:type="dxa" w:w="1949"/>
            <w:shd w:val="clear" w:color="auto" w:fill="F5F8FC"/>
          </w:tcPr>
          <w:p>
            <w:r>
              <w:rPr>
                <w:sz w:val="17"/>
              </w:rPr>
              <w:t>N4F0</w:t>
            </w:r>
          </w:p>
        </w:tc>
        <w:tc>
          <w:tcPr>
            <w:tcW w:type="dxa" w:w="1949"/>
            <w:shd w:val="clear" w:color="auto" w:fill="F5F8FC"/>
          </w:tcPr>
          <w:p>
            <w:r>
              <w:rPr>
                <w:sz w:val="17"/>
              </w:rPr>
              <w:t>글로벌IT소프트웨어주식형</w:t>
            </w:r>
          </w:p>
        </w:tc>
        <w:tc>
          <w:tcPr>
            <w:tcW w:type="dxa" w:w="1949"/>
            <w:shd w:val="clear" w:color="auto" w:fill="F5F8FC"/>
          </w:tcPr>
          <w:p>
            <w:r>
              <w:rPr>
                <w:sz w:val="17"/>
              </w:rPr>
              <w:t>0.0%</w:t>
            </w:r>
          </w:p>
        </w:tc>
        <w:tc>
          <w:tcPr>
            <w:tcW w:type="dxa" w:w="1949"/>
            <w:shd w:val="clear" w:color="auto" w:fill="F5F8FC"/>
          </w:tcPr>
          <w:p>
            <w:r>
              <w:rPr>
                <w:sz w:val="17"/>
              </w:rPr>
              <w:t>0.0%</w:t>
            </w:r>
          </w:p>
        </w:tc>
        <w:tc>
          <w:tcPr>
            <w:tcW w:type="dxa" w:w="1949"/>
            <w:shd w:val="clear" w:color="auto" w:fill="F5F8FC"/>
          </w:tcPr>
          <w:p>
            <w:r>
              <w:rPr>
                <w:sz w:val="17"/>
              </w:rPr>
              <w:t>−10 / −6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  <w:t>N401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글로벌성장주식형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5.0%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3.0%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−5 / −3</w:t>
            </w:r>
          </w:p>
        </w:tc>
      </w:tr>
      <w:tr>
        <w:tc>
          <w:tcPr>
            <w:tcW w:type="dxa" w:w="1949"/>
            <w:shd w:val="clear" w:color="auto" w:fill="F5F8FC"/>
          </w:tcPr>
          <w:p>
            <w:r>
              <w:rPr>
                <w:sz w:val="17"/>
              </w:rPr>
              <w:t>N380</w:t>
            </w:r>
          </w:p>
        </w:tc>
        <w:tc>
          <w:tcPr>
            <w:tcW w:type="dxa" w:w="1949"/>
            <w:shd w:val="clear" w:color="auto" w:fill="F5F8FC"/>
          </w:tcPr>
          <w:p>
            <w:r>
              <w:rPr>
                <w:sz w:val="17"/>
              </w:rPr>
              <w:t>미국주식형</w:t>
            </w:r>
          </w:p>
        </w:tc>
        <w:tc>
          <w:tcPr>
            <w:tcW w:type="dxa" w:w="1949"/>
            <w:shd w:val="clear" w:color="auto" w:fill="F5F8FC"/>
          </w:tcPr>
          <w:p>
            <w:r>
              <w:rPr>
                <w:sz w:val="17"/>
              </w:rPr>
              <w:t>5.0%</w:t>
            </w:r>
          </w:p>
        </w:tc>
        <w:tc>
          <w:tcPr>
            <w:tcW w:type="dxa" w:w="1949"/>
            <w:shd w:val="clear" w:color="auto" w:fill="F5F8FC"/>
          </w:tcPr>
          <w:p>
            <w:r>
              <w:rPr>
                <w:sz w:val="17"/>
              </w:rPr>
              <w:t>3.0%</w:t>
            </w:r>
          </w:p>
        </w:tc>
        <w:tc>
          <w:tcPr>
            <w:tcW w:type="dxa" w:w="1949"/>
            <w:shd w:val="clear" w:color="auto" w:fill="F5F8FC"/>
          </w:tcPr>
          <w:p>
            <w:r>
              <w:rPr>
                <w:sz w:val="17"/>
              </w:rPr>
              <w:t>−5 / −3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  <w:t>N4H0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[인덱스ETF] 미국나스닥100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0.0%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0.0%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−5 / −3</w:t>
            </w:r>
          </w:p>
        </w:tc>
      </w:tr>
      <w:tr>
        <w:tc>
          <w:tcPr>
            <w:tcW w:type="dxa" w:w="1949"/>
            <w:shd w:val="clear" w:color="auto" w:fill="F5F8FC"/>
          </w:tcPr>
          <w:p>
            <w:r>
              <w:rPr>
                <w:sz w:val="17"/>
              </w:rPr>
              <w:t>N2E0</w:t>
            </w:r>
          </w:p>
        </w:tc>
        <w:tc>
          <w:tcPr>
            <w:tcW w:type="dxa" w:w="1949"/>
            <w:shd w:val="clear" w:color="auto" w:fill="F5F8FC"/>
          </w:tcPr>
          <w:p>
            <w:r>
              <w:rPr>
                <w:sz w:val="17"/>
              </w:rPr>
              <w:t>A+차이나</w:t>
            </w:r>
          </w:p>
        </w:tc>
        <w:tc>
          <w:tcPr>
            <w:tcW w:type="dxa" w:w="1949"/>
            <w:shd w:val="clear" w:color="auto" w:fill="F5F8FC"/>
          </w:tcPr>
          <w:p>
            <w:r>
              <w:rPr>
                <w:sz w:val="17"/>
              </w:rPr>
              <w:t>7.5%</w:t>
            </w:r>
          </w:p>
        </w:tc>
        <w:tc>
          <w:tcPr>
            <w:tcW w:type="dxa" w:w="1949"/>
            <w:shd w:val="clear" w:color="auto" w:fill="F5F8FC"/>
          </w:tcPr>
          <w:p>
            <w:r>
              <w:rPr>
                <w:sz w:val="17"/>
              </w:rPr>
              <w:t>4.5%</w:t>
            </w:r>
          </w:p>
        </w:tc>
        <w:tc>
          <w:tcPr>
            <w:tcW w:type="dxa" w:w="1949"/>
            <w:shd w:val="clear" w:color="auto" w:fill="F5F8FC"/>
          </w:tcPr>
          <w:p>
            <w:r>
              <w:rPr>
                <w:sz w:val="17"/>
              </w:rPr>
              <w:t>유지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  <w:t>N2A0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아시아주식형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5.0%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3.0%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+2.5 / +1.5</w:t>
            </w:r>
          </w:p>
        </w:tc>
      </w:tr>
      <w:tr>
        <w:tc>
          <w:tcPr>
            <w:tcW w:type="dxa" w:w="1949"/>
            <w:shd w:val="clear" w:color="auto" w:fill="F5F8FC"/>
          </w:tcPr>
          <w:p>
            <w:r>
              <w:rPr>
                <w:sz w:val="17"/>
              </w:rPr>
              <w:t>N2B0</w:t>
            </w:r>
          </w:p>
        </w:tc>
        <w:tc>
          <w:tcPr>
            <w:tcW w:type="dxa" w:w="1949"/>
            <w:shd w:val="clear" w:color="auto" w:fill="F5F8FC"/>
          </w:tcPr>
          <w:p>
            <w:r>
              <w:rPr>
                <w:sz w:val="17"/>
              </w:rPr>
              <w:t>친디아주식형</w:t>
            </w:r>
          </w:p>
        </w:tc>
        <w:tc>
          <w:tcPr>
            <w:tcW w:type="dxa" w:w="1949"/>
            <w:shd w:val="clear" w:color="auto" w:fill="F5F8FC"/>
          </w:tcPr>
          <w:p>
            <w:r>
              <w:rPr>
                <w:sz w:val="17"/>
              </w:rPr>
              <w:t>0.0%</w:t>
            </w:r>
          </w:p>
        </w:tc>
        <w:tc>
          <w:tcPr>
            <w:tcW w:type="dxa" w:w="1949"/>
            <w:shd w:val="clear" w:color="auto" w:fill="F5F8FC"/>
          </w:tcPr>
          <w:p>
            <w:r>
              <w:rPr>
                <w:sz w:val="17"/>
              </w:rPr>
              <w:t>0.0%</w:t>
            </w:r>
          </w:p>
        </w:tc>
        <w:tc>
          <w:tcPr>
            <w:tcW w:type="dxa" w:w="1949"/>
            <w:shd w:val="clear" w:color="auto" w:fill="F5F8FC"/>
          </w:tcPr>
          <w:p>
            <w:r>
              <w:rPr>
                <w:sz w:val="17"/>
              </w:rPr>
              <w:t>−2.5 / −1.5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  <w:t>N920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골드투자형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5.0%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3.0%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+5 / +1</w:t>
            </w:r>
          </w:p>
        </w:tc>
      </w:tr>
    </w:tbl>
    <w:p/>
    <w:p>
      <w:pPr>
        <w:spacing w:after="60"/>
      </w:pPr>
      <w:r>
        <w:t>채권 포트폴리오 — YTM 4.13% · 듀레이션 3.82Y (전분기 대비 YTM ↓0.01%P · 듀레이션 ↓0.11Y). 이머징마켓채권형 +2.5%P 증액, MMF형 +2.5%P 증액(유동성 강화)하였습니다.</w:t>
      </w:r>
    </w:p>
    <w:p>
      <w:r>
        <w:rPr>
          <w:b/>
          <w:color w:val="043B72"/>
          <w:sz w:val="19"/>
        </w:rPr>
        <w:t>2-3. 글로벌MVP주식형 운용 성과</w:t>
      </w:r>
    </w:p>
    <w:p>
      <w:pPr>
        <w:spacing w:after="60"/>
      </w:pPr>
      <w:r>
        <w:t>(기준일: 2026-03-16, 출처: 한국펀드파트너스)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  <w:shd w:val="clear" w:color="auto" w:fill="043B72"/>
          </w:tcPr>
          <w:p>
            <w:r>
              <w:rPr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1392"/>
            <w:shd w:val="clear" w:color="auto" w:fill="043B72"/>
          </w:tcPr>
          <w:p>
            <w:r>
              <w:rPr>
                <w:b/>
                <w:color w:val="FFFFFF"/>
                <w:sz w:val="16"/>
              </w:rPr>
              <w:t>1개월</w:t>
            </w:r>
          </w:p>
        </w:tc>
        <w:tc>
          <w:tcPr>
            <w:tcW w:type="dxa" w:w="1392"/>
            <w:shd w:val="clear" w:color="auto" w:fill="043B72"/>
          </w:tcPr>
          <w:p>
            <w:r>
              <w:rPr>
                <w:b/>
                <w:color w:val="FFFFFF"/>
                <w:sz w:val="16"/>
              </w:rPr>
              <w:t>3개월</w:t>
            </w:r>
          </w:p>
        </w:tc>
        <w:tc>
          <w:tcPr>
            <w:tcW w:type="dxa" w:w="1392"/>
            <w:shd w:val="clear" w:color="auto" w:fill="043B72"/>
          </w:tcPr>
          <w:p>
            <w:r>
              <w:rPr>
                <w:b/>
                <w:color w:val="FFFFFF"/>
                <w:sz w:val="16"/>
              </w:rPr>
              <w:t>6개월</w:t>
            </w:r>
          </w:p>
        </w:tc>
        <w:tc>
          <w:tcPr>
            <w:tcW w:type="dxa" w:w="1392"/>
            <w:shd w:val="clear" w:color="auto" w:fill="043B72"/>
          </w:tcPr>
          <w:p>
            <w:r>
              <w:rPr>
                <w:b/>
                <w:color w:val="FFFFFF"/>
                <w:sz w:val="16"/>
              </w:rPr>
              <w:t>1년</w:t>
            </w:r>
          </w:p>
        </w:tc>
        <w:tc>
          <w:tcPr>
            <w:tcW w:type="dxa" w:w="1392"/>
            <w:shd w:val="clear" w:color="auto" w:fill="043B72"/>
          </w:tcPr>
          <w:p>
            <w:r>
              <w:rPr>
                <w:b/>
                <w:color w:val="FFFFFF"/>
                <w:sz w:val="16"/>
              </w:rPr>
              <w:t>3년</w:t>
            </w:r>
          </w:p>
        </w:tc>
        <w:tc>
          <w:tcPr>
            <w:tcW w:type="dxa" w:w="1392"/>
            <w:shd w:val="clear" w:color="auto" w:fill="043B72"/>
          </w:tcPr>
          <w:p>
            <w:r>
              <w:rPr>
                <w:b/>
                <w:color w:val="FFFFFF"/>
                <w:sz w:val="16"/>
              </w:rPr>
              <w:t>설정 후 누적</w:t>
            </w:r>
          </w:p>
        </w:tc>
      </w:tr>
      <w:tr>
        <w:tc>
          <w:tcPr>
            <w:tcW w:type="dxa" w:w="1392"/>
          </w:tcPr>
          <w:p>
            <w:r>
              <w:rPr>
                <w:sz w:val="17"/>
              </w:rPr>
              <w:t>글로벌MVP주식형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  <w:t>+2.4%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  <w:t>+7.23%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  <w:t>+16.12%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  <w:t>+35.42%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  <w:t>+99.01%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  <w:t>**+170.43%**</w:t>
            </w:r>
          </w:p>
        </w:tc>
      </w:tr>
    </w:tbl>
    <w:p/>
    <w:p>
      <w:pPr>
        <w:spacing w:after="60"/>
      </w:pPr>
      <w:r>
        <w:t>설정일(2017-08-28) 이후 누적 +170.43%, 연평균 +19.93%, 변동성 13.42%입니다.</w:t>
      </w:r>
    </w:p>
    <w:p>
      <w:r>
        <w:rPr>
          <w:b/>
          <w:color w:val="043B72"/>
          <w:sz w:val="19"/>
        </w:rPr>
        <w:t>2-4. MVP 시리즈 전체 성과 (2025-12-31 기준)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3"/>
        <w:gridCol w:w="1083"/>
        <w:gridCol w:w="1083"/>
        <w:gridCol w:w="1083"/>
        <w:gridCol w:w="1083"/>
        <w:gridCol w:w="1083"/>
        <w:gridCol w:w="1083"/>
        <w:gridCol w:w="1083"/>
        <w:gridCol w:w="1083"/>
      </w:tblGrid>
      <w:tr>
        <w:tc>
          <w:tcPr>
            <w:tcW w:type="dxa" w:w="1083"/>
            <w:shd w:val="clear" w:color="auto" w:fill="043B72"/>
          </w:tcPr>
          <w:p>
            <w:r>
              <w:rPr>
                <w:b/>
                <w:color w:val="FFFFFF"/>
                <w:sz w:val="16"/>
              </w:rPr>
              <w:t>펀드</w:t>
            </w:r>
          </w:p>
        </w:tc>
        <w:tc>
          <w:tcPr>
            <w:tcW w:type="dxa" w:w="1083"/>
            <w:shd w:val="clear" w:color="auto" w:fill="043B72"/>
          </w:tcPr>
          <w:p>
            <w:r>
              <w:rPr>
                <w:b/>
                <w:color w:val="FFFFFF"/>
                <w:sz w:val="16"/>
              </w:rPr>
              <w:t>1M</w:t>
            </w:r>
          </w:p>
        </w:tc>
        <w:tc>
          <w:tcPr>
            <w:tcW w:type="dxa" w:w="1083"/>
            <w:shd w:val="clear" w:color="auto" w:fill="043B72"/>
          </w:tcPr>
          <w:p>
            <w:r>
              <w:rPr>
                <w:b/>
                <w:color w:val="FFFFFF"/>
                <w:sz w:val="16"/>
              </w:rPr>
              <w:t>3M</w:t>
            </w:r>
          </w:p>
        </w:tc>
        <w:tc>
          <w:tcPr>
            <w:tcW w:type="dxa" w:w="1083"/>
            <w:shd w:val="clear" w:color="auto" w:fill="043B72"/>
          </w:tcPr>
          <w:p>
            <w:r>
              <w:rPr>
                <w:b/>
                <w:color w:val="FFFFFF"/>
                <w:sz w:val="16"/>
              </w:rPr>
              <w:t>6M</w:t>
            </w:r>
          </w:p>
        </w:tc>
        <w:tc>
          <w:tcPr>
            <w:tcW w:type="dxa" w:w="1083"/>
            <w:shd w:val="clear" w:color="auto" w:fill="043B72"/>
          </w:tcPr>
          <w:p>
            <w:r>
              <w:rPr>
                <w:b/>
                <w:color w:val="FFFFFF"/>
                <w:sz w:val="16"/>
              </w:rPr>
              <w:t>1Y</w:t>
            </w:r>
          </w:p>
        </w:tc>
        <w:tc>
          <w:tcPr>
            <w:tcW w:type="dxa" w:w="1083"/>
            <w:shd w:val="clear" w:color="auto" w:fill="043B72"/>
          </w:tcPr>
          <w:p>
            <w:r>
              <w:rPr>
                <w:b/>
                <w:color w:val="FFFFFF"/>
                <w:sz w:val="16"/>
              </w:rPr>
              <w:t>3Y</w:t>
            </w:r>
          </w:p>
        </w:tc>
        <w:tc>
          <w:tcPr>
            <w:tcW w:type="dxa" w:w="1083"/>
            <w:shd w:val="clear" w:color="auto" w:fill="043B72"/>
          </w:tcPr>
          <w:p>
            <w:r>
              <w:rPr>
                <w:b/>
                <w:color w:val="FFFFFF"/>
                <w:sz w:val="16"/>
              </w:rPr>
              <w:t>5Y</w:t>
            </w:r>
          </w:p>
        </w:tc>
        <w:tc>
          <w:tcPr>
            <w:tcW w:type="dxa" w:w="1083"/>
            <w:shd w:val="clear" w:color="auto" w:fill="043B72"/>
          </w:tcPr>
          <w:p>
            <w:r>
              <w:rPr>
                <w:b/>
                <w:color w:val="FFFFFF"/>
                <w:sz w:val="16"/>
              </w:rPr>
              <w:t>누적</w:t>
            </w:r>
          </w:p>
        </w:tc>
        <w:tc>
          <w:tcPr>
            <w:tcW w:type="dxa" w:w="1083"/>
            <w:shd w:val="clear" w:color="auto" w:fill="043B72"/>
          </w:tcPr>
          <w:p>
            <w:r>
              <w:rPr>
                <w:b/>
                <w:color w:val="FFFFFF"/>
                <w:sz w:val="16"/>
              </w:rPr>
              <w:t>변동성</w:t>
            </w:r>
          </w:p>
        </w:tc>
      </w:tr>
      <w:tr>
        <w:tc>
          <w:tcPr>
            <w:tcW w:type="dxa" w:w="1083"/>
          </w:tcPr>
          <w:p>
            <w:r>
              <w:rPr>
                <w:sz w:val="17"/>
              </w:rPr>
              <w:t>MVP주식</w:t>
            </w:r>
          </w:p>
        </w:tc>
        <w:tc>
          <w:tcPr>
            <w:tcW w:type="dxa" w:w="1083"/>
          </w:tcPr>
          <w:p>
            <w:r>
              <w:rPr>
                <w:sz w:val="17"/>
              </w:rPr>
              <w:t>+0.7%</w:t>
            </w:r>
          </w:p>
        </w:tc>
        <w:tc>
          <w:tcPr>
            <w:tcW w:type="dxa" w:w="1083"/>
          </w:tcPr>
          <w:p>
            <w:r>
              <w:rPr>
                <w:sz w:val="17"/>
              </w:rPr>
              <w:t>+3.1%</w:t>
            </w:r>
          </w:p>
        </w:tc>
        <w:tc>
          <w:tcPr>
            <w:tcW w:type="dxa" w:w="1083"/>
          </w:tcPr>
          <w:p>
            <w:r>
              <w:rPr>
                <w:sz w:val="17"/>
              </w:rPr>
              <w:t>+17.8%</w:t>
            </w:r>
          </w:p>
        </w:tc>
        <w:tc>
          <w:tcPr>
            <w:tcW w:type="dxa" w:w="1083"/>
          </w:tcPr>
          <w:p>
            <w:r>
              <w:rPr>
                <w:sz w:val="17"/>
              </w:rPr>
              <w:t>+15.9%</w:t>
            </w:r>
          </w:p>
        </w:tc>
        <w:tc>
          <w:tcPr>
            <w:tcW w:type="dxa" w:w="1083"/>
          </w:tcPr>
          <w:p>
            <w:r>
              <w:rPr>
                <w:sz w:val="17"/>
              </w:rPr>
              <w:t>+92.9%</w:t>
            </w:r>
          </w:p>
        </w:tc>
        <w:tc>
          <w:tcPr>
            <w:tcW w:type="dxa" w:w="1083"/>
          </w:tcPr>
          <w:p>
            <w:r>
              <w:rPr>
                <w:sz w:val="17"/>
              </w:rPr>
              <w:t>+58.8%</w:t>
            </w:r>
          </w:p>
        </w:tc>
        <w:tc>
          <w:tcPr>
            <w:tcW w:type="dxa" w:w="1083"/>
          </w:tcPr>
          <w:p>
            <w:r>
              <w:rPr>
                <w:sz w:val="17"/>
              </w:rPr>
              <w:t>**+148.2%**</w:t>
            </w:r>
          </w:p>
        </w:tc>
        <w:tc>
          <w:tcPr>
            <w:tcW w:type="dxa" w:w="1083"/>
          </w:tcPr>
          <w:p>
            <w:r>
              <w:rPr>
                <w:sz w:val="17"/>
              </w:rPr>
              <w:t>13.3%</w:t>
            </w:r>
          </w:p>
        </w:tc>
      </w:tr>
      <w:tr>
        <w:tc>
          <w:tcPr>
            <w:tcW w:type="dxa" w:w="1083"/>
            <w:shd w:val="clear" w:color="auto" w:fill="F5F8FC"/>
          </w:tcPr>
          <w:p>
            <w:r>
              <w:rPr>
                <w:sz w:val="17"/>
              </w:rPr>
              <w:t>MVP 60</w:t>
            </w:r>
          </w:p>
        </w:tc>
        <w:tc>
          <w:tcPr>
            <w:tcW w:type="dxa" w:w="1083"/>
            <w:shd w:val="clear" w:color="auto" w:fill="F5F8FC"/>
          </w:tcPr>
          <w:p>
            <w:r>
              <w:rPr>
                <w:sz w:val="17"/>
              </w:rPr>
              <w:t>+0.6%</w:t>
            </w:r>
          </w:p>
        </w:tc>
        <w:tc>
          <w:tcPr>
            <w:tcW w:type="dxa" w:w="1083"/>
            <w:shd w:val="clear" w:color="auto" w:fill="F5F8FC"/>
          </w:tcPr>
          <w:p>
            <w:r>
              <w:rPr>
                <w:sz w:val="17"/>
              </w:rPr>
              <w:t>+2.2%</w:t>
            </w:r>
          </w:p>
        </w:tc>
        <w:tc>
          <w:tcPr>
            <w:tcW w:type="dxa" w:w="1083"/>
            <w:shd w:val="clear" w:color="auto" w:fill="F5F8FC"/>
          </w:tcPr>
          <w:p>
            <w:r>
              <w:rPr>
                <w:sz w:val="17"/>
              </w:rPr>
              <w:t>+11.4%</w:t>
            </w:r>
          </w:p>
        </w:tc>
        <w:tc>
          <w:tcPr>
            <w:tcW w:type="dxa" w:w="1083"/>
            <w:shd w:val="clear" w:color="auto" w:fill="F5F8FC"/>
          </w:tcPr>
          <w:p>
            <w:r>
              <w:rPr>
                <w:sz w:val="17"/>
              </w:rPr>
              <w:t>+12.1%</w:t>
            </w:r>
          </w:p>
        </w:tc>
        <w:tc>
          <w:tcPr>
            <w:tcW w:type="dxa" w:w="1083"/>
            <w:shd w:val="clear" w:color="auto" w:fill="F5F8FC"/>
          </w:tcPr>
          <w:p>
            <w:r>
              <w:rPr>
                <w:sz w:val="17"/>
              </w:rPr>
              <w:t>+56.2%</w:t>
            </w:r>
          </w:p>
        </w:tc>
        <w:tc>
          <w:tcPr>
            <w:tcW w:type="dxa" w:w="1083"/>
            <w:shd w:val="clear" w:color="auto" w:fill="F5F8FC"/>
          </w:tcPr>
          <w:p>
            <w:r>
              <w:rPr>
                <w:sz w:val="17"/>
              </w:rPr>
              <w:t>+35.1%</w:t>
            </w:r>
          </w:p>
        </w:tc>
        <w:tc>
          <w:tcPr>
            <w:tcW w:type="dxa" w:w="1083"/>
            <w:shd w:val="clear" w:color="auto" w:fill="F5F8FC"/>
          </w:tcPr>
          <w:p>
            <w:r>
              <w:rPr>
                <w:sz w:val="17"/>
              </w:rPr>
              <w:t>**+115.0%**</w:t>
            </w:r>
          </w:p>
        </w:tc>
        <w:tc>
          <w:tcPr>
            <w:tcW w:type="dxa" w:w="1083"/>
            <w:shd w:val="clear" w:color="auto" w:fill="F5F8FC"/>
          </w:tcPr>
          <w:p>
            <w:r>
              <w:rPr>
                <w:sz w:val="17"/>
              </w:rPr>
              <w:t>8.2%</w:t>
            </w:r>
          </w:p>
        </w:tc>
      </w:tr>
      <w:tr>
        <w:tc>
          <w:tcPr>
            <w:tcW w:type="dxa" w:w="1083"/>
          </w:tcPr>
          <w:p>
            <w:r>
              <w:rPr>
                <w:sz w:val="17"/>
              </w:rPr>
              <w:t>MVP 50</w:t>
            </w:r>
          </w:p>
        </w:tc>
        <w:tc>
          <w:tcPr>
            <w:tcW w:type="dxa" w:w="1083"/>
          </w:tcPr>
          <w:p>
            <w:r>
              <w:rPr>
                <w:sz w:val="17"/>
              </w:rPr>
              <w:t>+0.5%</w:t>
            </w:r>
          </w:p>
        </w:tc>
        <w:tc>
          <w:tcPr>
            <w:tcW w:type="dxa" w:w="1083"/>
          </w:tcPr>
          <w:p>
            <w:r>
              <w:rPr>
                <w:sz w:val="17"/>
              </w:rPr>
              <w:t>+1.9%</w:t>
            </w:r>
          </w:p>
        </w:tc>
        <w:tc>
          <w:tcPr>
            <w:tcW w:type="dxa" w:w="1083"/>
          </w:tcPr>
          <w:p>
            <w:r>
              <w:rPr>
                <w:sz w:val="17"/>
              </w:rPr>
              <w:t>+9.7%</w:t>
            </w:r>
          </w:p>
        </w:tc>
        <w:tc>
          <w:tcPr>
            <w:tcW w:type="dxa" w:w="1083"/>
          </w:tcPr>
          <w:p>
            <w:r>
              <w:rPr>
                <w:sz w:val="17"/>
              </w:rPr>
              <w:t>+10.6%</w:t>
            </w:r>
          </w:p>
        </w:tc>
        <w:tc>
          <w:tcPr>
            <w:tcW w:type="dxa" w:w="1083"/>
          </w:tcPr>
          <w:p>
            <w:r>
              <w:rPr>
                <w:sz w:val="17"/>
              </w:rPr>
              <w:t>+48.2%</w:t>
            </w:r>
          </w:p>
        </w:tc>
        <w:tc>
          <w:tcPr>
            <w:tcW w:type="dxa" w:w="1083"/>
          </w:tcPr>
          <w:p>
            <w:r>
              <w:rPr>
                <w:sz w:val="17"/>
              </w:rPr>
              <w:t>+28.7%</w:t>
            </w:r>
          </w:p>
        </w:tc>
        <w:tc>
          <w:tcPr>
            <w:tcW w:type="dxa" w:w="1083"/>
          </w:tcPr>
          <w:p>
            <w:r>
              <w:rPr>
                <w:sz w:val="17"/>
              </w:rPr>
              <w:t>**+86.8%**</w:t>
            </w:r>
          </w:p>
        </w:tc>
        <w:tc>
          <w:tcPr>
            <w:tcW w:type="dxa" w:w="1083"/>
          </w:tcPr>
          <w:p>
            <w:r>
              <w:rPr>
                <w:sz w:val="17"/>
              </w:rPr>
              <w:t>6.9%</w:t>
            </w:r>
          </w:p>
        </w:tc>
      </w:tr>
      <w:tr>
        <w:tc>
          <w:tcPr>
            <w:tcW w:type="dxa" w:w="1083"/>
            <w:shd w:val="clear" w:color="auto" w:fill="F5F8FC"/>
          </w:tcPr>
          <w:p>
            <w:r>
              <w:rPr>
                <w:sz w:val="17"/>
              </w:rPr>
              <w:t>MVP 30</w:t>
            </w:r>
          </w:p>
        </w:tc>
        <w:tc>
          <w:tcPr>
            <w:tcW w:type="dxa" w:w="1083"/>
            <w:shd w:val="clear" w:color="auto" w:fill="F5F8FC"/>
          </w:tcPr>
          <w:p>
            <w:r>
              <w:rPr>
                <w:sz w:val="17"/>
              </w:rPr>
              <w:t>+0.4%</w:t>
            </w:r>
          </w:p>
        </w:tc>
        <w:tc>
          <w:tcPr>
            <w:tcW w:type="dxa" w:w="1083"/>
            <w:shd w:val="clear" w:color="auto" w:fill="F5F8FC"/>
          </w:tcPr>
          <w:p>
            <w:r>
              <w:rPr>
                <w:sz w:val="17"/>
              </w:rPr>
              <w:t>+1.4%</w:t>
            </w:r>
          </w:p>
        </w:tc>
        <w:tc>
          <w:tcPr>
            <w:tcW w:type="dxa" w:w="1083"/>
            <w:shd w:val="clear" w:color="auto" w:fill="F5F8FC"/>
          </w:tcPr>
          <w:p>
            <w:r>
              <w:rPr>
                <w:sz w:val="17"/>
              </w:rPr>
              <w:t>+6.6%</w:t>
            </w:r>
          </w:p>
        </w:tc>
        <w:tc>
          <w:tcPr>
            <w:tcW w:type="dxa" w:w="1083"/>
            <w:shd w:val="clear" w:color="auto" w:fill="F5F8FC"/>
          </w:tcPr>
          <w:p>
            <w:r>
              <w:rPr>
                <w:sz w:val="17"/>
              </w:rPr>
              <w:t>+8.3%</w:t>
            </w:r>
          </w:p>
        </w:tc>
        <w:tc>
          <w:tcPr>
            <w:tcW w:type="dxa" w:w="1083"/>
            <w:shd w:val="clear" w:color="auto" w:fill="F5F8FC"/>
          </w:tcPr>
          <w:p>
            <w:r>
              <w:rPr>
                <w:sz w:val="17"/>
              </w:rPr>
              <w:t>+33.9%</w:t>
            </w:r>
          </w:p>
        </w:tc>
        <w:tc>
          <w:tcPr>
            <w:tcW w:type="dxa" w:w="1083"/>
            <w:shd w:val="clear" w:color="auto" w:fill="F5F8FC"/>
          </w:tcPr>
          <w:p>
            <w:r>
              <w:rPr>
                <w:sz w:val="17"/>
              </w:rPr>
              <w:t>+19.0%</w:t>
            </w:r>
          </w:p>
        </w:tc>
        <w:tc>
          <w:tcPr>
            <w:tcW w:type="dxa" w:w="1083"/>
            <w:shd w:val="clear" w:color="auto" w:fill="F5F8FC"/>
          </w:tcPr>
          <w:p>
            <w:r>
              <w:rPr>
                <w:sz w:val="17"/>
              </w:rPr>
              <w:t>**+64.1%**</w:t>
            </w:r>
          </w:p>
        </w:tc>
        <w:tc>
          <w:tcPr>
            <w:tcW w:type="dxa" w:w="1083"/>
            <w:shd w:val="clear" w:color="auto" w:fill="F5F8FC"/>
          </w:tcPr>
          <w:p>
            <w:r>
              <w:rPr>
                <w:sz w:val="17"/>
              </w:rPr>
              <w:t>4.6%</w:t>
            </w:r>
          </w:p>
        </w:tc>
      </w:tr>
      <w:tr>
        <w:tc>
          <w:tcPr>
            <w:tcW w:type="dxa" w:w="1083"/>
          </w:tcPr>
          <w:p>
            <w:r>
              <w:rPr>
                <w:sz w:val="17"/>
              </w:rPr>
              <w:t>MVP채권</w:t>
            </w:r>
          </w:p>
        </w:tc>
        <w:tc>
          <w:tcPr>
            <w:tcW w:type="dxa" w:w="1083"/>
          </w:tcPr>
          <w:p>
            <w:r>
              <w:rPr>
                <w:sz w:val="17"/>
              </w:rPr>
              <w:t>+0.3%</w:t>
            </w:r>
          </w:p>
        </w:tc>
        <w:tc>
          <w:tcPr>
            <w:tcW w:type="dxa" w:w="1083"/>
          </w:tcPr>
          <w:p>
            <w:r>
              <w:rPr>
                <w:sz w:val="17"/>
              </w:rPr>
              <w:t>+0.8%</w:t>
            </w:r>
          </w:p>
        </w:tc>
        <w:tc>
          <w:tcPr>
            <w:tcW w:type="dxa" w:w="1083"/>
          </w:tcPr>
          <w:p>
            <w:r>
              <w:rPr>
                <w:sz w:val="17"/>
              </w:rPr>
              <w:t>+2.4%</w:t>
            </w:r>
          </w:p>
        </w:tc>
        <w:tc>
          <w:tcPr>
            <w:tcW w:type="dxa" w:w="1083"/>
          </w:tcPr>
          <w:p>
            <w:r>
              <w:rPr>
                <w:sz w:val="17"/>
              </w:rPr>
              <w:t>+4.9%</w:t>
            </w:r>
          </w:p>
        </w:tc>
        <w:tc>
          <w:tcPr>
            <w:tcW w:type="dxa" w:w="1083"/>
          </w:tcPr>
          <w:p>
            <w:r>
              <w:rPr>
                <w:sz w:val="17"/>
              </w:rPr>
              <w:t>+15.5%</w:t>
            </w:r>
          </w:p>
        </w:tc>
        <w:tc>
          <w:tcPr>
            <w:tcW w:type="dxa" w:w="1083"/>
          </w:tcPr>
          <w:p>
            <w:r>
              <w:rPr>
                <w:sz w:val="17"/>
              </w:rPr>
              <w:t>+6.3%</w:t>
            </w:r>
          </w:p>
        </w:tc>
        <w:tc>
          <w:tcPr>
            <w:tcW w:type="dxa" w:w="1083"/>
          </w:tcPr>
          <w:p>
            <w:r>
              <w:rPr>
                <w:sz w:val="17"/>
              </w:rPr>
              <w:t>**+25.8%**</w:t>
            </w:r>
          </w:p>
        </w:tc>
        <w:tc>
          <w:tcPr>
            <w:tcW w:type="dxa" w:w="1083"/>
          </w:tcPr>
          <w:p>
            <w:r>
              <w:rPr>
                <w:sz w:val="17"/>
              </w:rPr>
              <w:t>2.4%</w:t>
            </w:r>
          </w:p>
        </w:tc>
      </w:tr>
    </w:tbl>
    <w:p/>
    <w:p/>
    <w:p>
      <w:pPr>
        <w:spacing w:before="240"/>
      </w:pPr>
      <w:r>
        <w:rPr>
          <w:b/>
          <w:color w:val="043B72"/>
          <w:sz w:val="24"/>
        </w:rPr>
        <w:t>3. ETF MVP &amp; AI MVP 현황</w:t>
      </w:r>
    </w:p>
    <w:p>
      <w:r>
        <w:rPr>
          <w:b/>
          <w:color w:val="043B72"/>
          <w:sz w:val="19"/>
        </w:rPr>
        <w:t>3-1. ETF MVP 성과 (2025-12-31 기준)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18"/>
            <w:shd w:val="clear" w:color="auto" w:fill="043B72"/>
          </w:tcPr>
          <w:p>
            <w:r>
              <w:rPr>
                <w:b/>
                <w:color w:val="FFFFFF"/>
                <w:sz w:val="16"/>
              </w:rPr>
              <w:t>펀드</w:t>
            </w:r>
          </w:p>
        </w:tc>
        <w:tc>
          <w:tcPr>
            <w:tcW w:type="dxa" w:w="1218"/>
            <w:shd w:val="clear" w:color="auto" w:fill="043B72"/>
          </w:tcPr>
          <w:p>
            <w:r>
              <w:rPr>
                <w:b/>
                <w:color w:val="FFFFFF"/>
                <w:sz w:val="16"/>
              </w:rPr>
              <w:t>1M</w:t>
            </w:r>
          </w:p>
        </w:tc>
        <w:tc>
          <w:tcPr>
            <w:tcW w:type="dxa" w:w="1218"/>
            <w:shd w:val="clear" w:color="auto" w:fill="043B72"/>
          </w:tcPr>
          <w:p>
            <w:r>
              <w:rPr>
                <w:b/>
                <w:color w:val="FFFFFF"/>
                <w:sz w:val="16"/>
              </w:rPr>
              <w:t>3M</w:t>
            </w:r>
          </w:p>
        </w:tc>
        <w:tc>
          <w:tcPr>
            <w:tcW w:type="dxa" w:w="1218"/>
            <w:shd w:val="clear" w:color="auto" w:fill="043B72"/>
          </w:tcPr>
          <w:p>
            <w:r>
              <w:rPr>
                <w:b/>
                <w:color w:val="FFFFFF"/>
                <w:sz w:val="16"/>
              </w:rPr>
              <w:t>6M</w:t>
            </w:r>
          </w:p>
        </w:tc>
        <w:tc>
          <w:tcPr>
            <w:tcW w:type="dxa" w:w="1218"/>
            <w:shd w:val="clear" w:color="auto" w:fill="043B72"/>
          </w:tcPr>
          <w:p>
            <w:r>
              <w:rPr>
                <w:b/>
                <w:color w:val="FFFFFF"/>
                <w:sz w:val="16"/>
              </w:rPr>
              <w:t>1Y</w:t>
            </w:r>
          </w:p>
        </w:tc>
        <w:tc>
          <w:tcPr>
            <w:tcW w:type="dxa" w:w="1218"/>
            <w:shd w:val="clear" w:color="auto" w:fill="043B72"/>
          </w:tcPr>
          <w:p>
            <w:r>
              <w:rPr>
                <w:b/>
                <w:color w:val="FFFFFF"/>
                <w:sz w:val="16"/>
              </w:rPr>
              <w:t>3Y</w:t>
            </w:r>
          </w:p>
        </w:tc>
        <w:tc>
          <w:tcPr>
            <w:tcW w:type="dxa" w:w="1218"/>
            <w:shd w:val="clear" w:color="auto" w:fill="043B72"/>
          </w:tcPr>
          <w:p>
            <w:r>
              <w:rPr>
                <w:b/>
                <w:color w:val="FFFFFF"/>
                <w:sz w:val="16"/>
              </w:rPr>
              <w:t>누적</w:t>
            </w:r>
          </w:p>
        </w:tc>
        <w:tc>
          <w:tcPr>
            <w:tcW w:type="dxa" w:w="1218"/>
            <w:shd w:val="clear" w:color="auto" w:fill="043B72"/>
          </w:tcPr>
          <w:p>
            <w:r>
              <w:rPr>
                <w:b/>
                <w:color w:val="FFFFFF"/>
                <w:sz w:val="16"/>
              </w:rPr>
              <w:t>변동성</w:t>
            </w:r>
          </w:p>
        </w:tc>
      </w:tr>
      <w:tr>
        <w:tc>
          <w:tcPr>
            <w:tcW w:type="dxa" w:w="1218"/>
          </w:tcPr>
          <w:p>
            <w:r>
              <w:rPr>
                <w:sz w:val="17"/>
              </w:rPr>
              <w:t>ETF 주식</w:t>
            </w:r>
          </w:p>
        </w:tc>
        <w:tc>
          <w:tcPr>
            <w:tcW w:type="dxa" w:w="1218"/>
          </w:tcPr>
          <w:p>
            <w:r>
              <w:rPr>
                <w:sz w:val="17"/>
              </w:rPr>
              <w:t>+0.5%</w:t>
            </w:r>
          </w:p>
        </w:tc>
        <w:tc>
          <w:tcPr>
            <w:tcW w:type="dxa" w:w="1218"/>
          </w:tcPr>
          <w:p>
            <w:r>
              <w:rPr>
                <w:sz w:val="17"/>
              </w:rPr>
              <w:t>+5.3%</w:t>
            </w:r>
          </w:p>
        </w:tc>
        <w:tc>
          <w:tcPr>
            <w:tcW w:type="dxa" w:w="1218"/>
          </w:tcPr>
          <w:p>
            <w:r>
              <w:rPr>
                <w:sz w:val="17"/>
              </w:rPr>
              <w:t>+19.7%</w:t>
            </w:r>
          </w:p>
        </w:tc>
        <w:tc>
          <w:tcPr>
            <w:tcW w:type="dxa" w:w="1218"/>
          </w:tcPr>
          <w:p>
            <w:r>
              <w:rPr>
                <w:sz w:val="17"/>
              </w:rPr>
              <w:t>+18.9%</w:t>
            </w:r>
          </w:p>
        </w:tc>
        <w:tc>
          <w:tcPr>
            <w:tcW w:type="dxa" w:w="1218"/>
          </w:tcPr>
          <w:p>
            <w:r>
              <w:rPr>
                <w:sz w:val="17"/>
              </w:rPr>
              <w:t>+97.0%</w:t>
            </w:r>
          </w:p>
        </w:tc>
        <w:tc>
          <w:tcPr>
            <w:tcW w:type="dxa" w:w="1218"/>
          </w:tcPr>
          <w:p>
            <w:r>
              <w:rPr>
                <w:sz w:val="17"/>
              </w:rPr>
              <w:t>**+73.7%**</w:t>
            </w:r>
          </w:p>
        </w:tc>
        <w:tc>
          <w:tcPr>
            <w:tcW w:type="dxa" w:w="1218"/>
          </w:tcPr>
          <w:p>
            <w:r>
              <w:rPr>
                <w:sz w:val="17"/>
              </w:rPr>
              <w:t>13.7%</w:t>
            </w:r>
          </w:p>
        </w:tc>
      </w:tr>
      <w:tr>
        <w:tc>
          <w:tcPr>
            <w:tcW w:type="dxa" w:w="1218"/>
            <w:shd w:val="clear" w:color="auto" w:fill="F5F8FC"/>
          </w:tcPr>
          <w:p>
            <w:r>
              <w:rPr>
                <w:sz w:val="17"/>
              </w:rPr>
              <w:t>ETF 60</w:t>
            </w:r>
          </w:p>
        </w:tc>
        <w:tc>
          <w:tcPr>
            <w:tcW w:type="dxa" w:w="1218"/>
            <w:shd w:val="clear" w:color="auto" w:fill="F5F8FC"/>
          </w:tcPr>
          <w:p>
            <w:r>
              <w:rPr>
                <w:sz w:val="17"/>
              </w:rPr>
              <w:t>+0.3%</w:t>
            </w:r>
          </w:p>
        </w:tc>
        <w:tc>
          <w:tcPr>
            <w:tcW w:type="dxa" w:w="1218"/>
            <w:shd w:val="clear" w:color="auto" w:fill="F5F8FC"/>
          </w:tcPr>
          <w:p>
            <w:r>
              <w:rPr>
                <w:sz w:val="17"/>
              </w:rPr>
              <w:t>+3.8%</w:t>
            </w:r>
          </w:p>
        </w:tc>
        <w:tc>
          <w:tcPr>
            <w:tcW w:type="dxa" w:w="1218"/>
            <w:shd w:val="clear" w:color="auto" w:fill="F5F8FC"/>
          </w:tcPr>
          <w:p>
            <w:r>
              <w:rPr>
                <w:sz w:val="17"/>
              </w:rPr>
              <w:t>+13.5%</w:t>
            </w:r>
          </w:p>
        </w:tc>
        <w:tc>
          <w:tcPr>
            <w:tcW w:type="dxa" w:w="1218"/>
            <w:shd w:val="clear" w:color="auto" w:fill="F5F8FC"/>
          </w:tcPr>
          <w:p>
            <w:r>
              <w:rPr>
                <w:sz w:val="17"/>
              </w:rPr>
              <w:t>+14.2%</w:t>
            </w:r>
          </w:p>
        </w:tc>
        <w:tc>
          <w:tcPr>
            <w:tcW w:type="dxa" w:w="1218"/>
            <w:shd w:val="clear" w:color="auto" w:fill="F5F8FC"/>
          </w:tcPr>
          <w:p>
            <w:r>
              <w:rPr>
                <w:sz w:val="17"/>
              </w:rPr>
              <w:t>+60.6%</w:t>
            </w:r>
          </w:p>
        </w:tc>
        <w:tc>
          <w:tcPr>
            <w:tcW w:type="dxa" w:w="1218"/>
            <w:shd w:val="clear" w:color="auto" w:fill="F5F8FC"/>
          </w:tcPr>
          <w:p>
            <w:r>
              <w:rPr>
                <w:sz w:val="17"/>
              </w:rPr>
              <w:t>**+45.0%**</w:t>
            </w:r>
          </w:p>
        </w:tc>
        <w:tc>
          <w:tcPr>
            <w:tcW w:type="dxa" w:w="1218"/>
            <w:shd w:val="clear" w:color="auto" w:fill="F5F8FC"/>
          </w:tcPr>
          <w:p>
            <w:r>
              <w:rPr>
                <w:sz w:val="17"/>
              </w:rPr>
              <w:t>9.0%</w:t>
            </w:r>
          </w:p>
        </w:tc>
      </w:tr>
      <w:tr>
        <w:tc>
          <w:tcPr>
            <w:tcW w:type="dxa" w:w="1218"/>
          </w:tcPr>
          <w:p>
            <w:r>
              <w:rPr>
                <w:sz w:val="17"/>
              </w:rPr>
              <w:t>ETF 30</w:t>
            </w:r>
          </w:p>
        </w:tc>
        <w:tc>
          <w:tcPr>
            <w:tcW w:type="dxa" w:w="1218"/>
          </w:tcPr>
          <w:p>
            <w:r>
              <w:rPr>
                <w:sz w:val="17"/>
              </w:rPr>
              <w:t>+0.1%</w:t>
            </w:r>
          </w:p>
        </w:tc>
        <w:tc>
          <w:tcPr>
            <w:tcW w:type="dxa" w:w="1218"/>
          </w:tcPr>
          <w:p>
            <w:r>
              <w:rPr>
                <w:sz w:val="17"/>
              </w:rPr>
              <w:t>+2.0%</w:t>
            </w:r>
          </w:p>
        </w:tc>
        <w:tc>
          <w:tcPr>
            <w:tcW w:type="dxa" w:w="1218"/>
          </w:tcPr>
          <w:p>
            <w:r>
              <w:rPr>
                <w:sz w:val="17"/>
              </w:rPr>
              <w:t>+7.4%</w:t>
            </w:r>
          </w:p>
        </w:tc>
        <w:tc>
          <w:tcPr>
            <w:tcW w:type="dxa" w:w="1218"/>
          </w:tcPr>
          <w:p>
            <w:r>
              <w:rPr>
                <w:sz w:val="17"/>
              </w:rPr>
              <w:t>+8.7%</w:t>
            </w:r>
          </w:p>
        </w:tc>
        <w:tc>
          <w:tcPr>
            <w:tcW w:type="dxa" w:w="1218"/>
          </w:tcPr>
          <w:p>
            <w:r>
              <w:rPr>
                <w:sz w:val="17"/>
              </w:rPr>
              <w:t>+32.6%</w:t>
            </w:r>
          </w:p>
        </w:tc>
        <w:tc>
          <w:tcPr>
            <w:tcW w:type="dxa" w:w="1218"/>
          </w:tcPr>
          <w:p>
            <w:r>
              <w:rPr>
                <w:sz w:val="17"/>
              </w:rPr>
              <w:t>**+15.0%**</w:t>
            </w:r>
          </w:p>
        </w:tc>
        <w:tc>
          <w:tcPr>
            <w:tcW w:type="dxa" w:w="1218"/>
          </w:tcPr>
          <w:p>
            <w:r>
              <w:rPr>
                <w:sz w:val="17"/>
              </w:rPr>
              <w:t>5.0%</w:t>
            </w:r>
          </w:p>
        </w:tc>
      </w:tr>
      <w:tr>
        <w:tc>
          <w:tcPr>
            <w:tcW w:type="dxa" w:w="1218"/>
            <w:shd w:val="clear" w:color="auto" w:fill="F5F8FC"/>
          </w:tcPr>
          <w:p>
            <w:r>
              <w:rPr>
                <w:sz w:val="17"/>
              </w:rPr>
              <w:t>ETF 채권</w:t>
            </w:r>
          </w:p>
        </w:tc>
        <w:tc>
          <w:tcPr>
            <w:tcW w:type="dxa" w:w="1218"/>
            <w:shd w:val="clear" w:color="auto" w:fill="F5F8FC"/>
          </w:tcPr>
          <w:p>
            <w:r>
              <w:rPr>
                <w:sz w:val="17"/>
              </w:rPr>
              <w:t>+0.3%</w:t>
            </w:r>
          </w:p>
        </w:tc>
        <w:tc>
          <w:tcPr>
            <w:tcW w:type="dxa" w:w="1218"/>
            <w:shd w:val="clear" w:color="auto" w:fill="F5F8FC"/>
          </w:tcPr>
          <w:p>
            <w:r>
              <w:rPr>
                <w:sz w:val="17"/>
              </w:rPr>
              <w:t>+1.7%</w:t>
            </w:r>
          </w:p>
        </w:tc>
        <w:tc>
          <w:tcPr>
            <w:tcW w:type="dxa" w:w="1218"/>
            <w:shd w:val="clear" w:color="auto" w:fill="F5F8FC"/>
          </w:tcPr>
          <w:p>
            <w:r>
              <w:rPr>
                <w:sz w:val="17"/>
              </w:rPr>
              <w:t>+3.2%</w:t>
            </w:r>
          </w:p>
        </w:tc>
        <w:tc>
          <w:tcPr>
            <w:tcW w:type="dxa" w:w="1218"/>
            <w:shd w:val="clear" w:color="auto" w:fill="F5F8FC"/>
          </w:tcPr>
          <w:p>
            <w:r>
              <w:rPr>
                <w:sz w:val="17"/>
              </w:rPr>
              <w:t>+11.3%</w:t>
            </w:r>
          </w:p>
        </w:tc>
        <w:tc>
          <w:tcPr>
            <w:tcW w:type="dxa" w:w="1218"/>
            <w:shd w:val="clear" w:color="auto" w:fill="F5F8FC"/>
          </w:tcPr>
          <w:p>
            <w:r>
              <w:rPr>
                <w:sz w:val="17"/>
              </w:rPr>
              <w:t>−4.7%</w:t>
            </w:r>
          </w:p>
        </w:tc>
        <w:tc>
          <w:tcPr>
            <w:tcW w:type="dxa" w:w="1218"/>
            <w:shd w:val="clear" w:color="auto" w:fill="F5F8FC"/>
          </w:tcPr>
          <w:p>
            <w:r>
              <w:rPr>
                <w:sz w:val="17"/>
              </w:rPr>
              <w:t>**+10.6%**</w:t>
            </w:r>
          </w:p>
        </w:tc>
        <w:tc>
          <w:tcPr>
            <w:tcW w:type="dxa" w:w="1218"/>
            <w:shd w:val="clear" w:color="auto" w:fill="F5F8FC"/>
          </w:tcPr>
          <w:p>
            <w:r>
              <w:rPr>
                <w:sz w:val="17"/>
              </w:rPr>
              <w:t>2.5%</w:t>
            </w:r>
          </w:p>
        </w:tc>
      </w:tr>
    </w:tbl>
    <w:p/>
    <w:p>
      <w:pPr>
        <w:spacing w:after="60"/>
      </w:pPr>
      <w:r>
        <w:t>ETF MVP는 수시 리밸런싱 구조로 글로벌MVP시리즈 대비 자본시장 대응 속도에서 우위를 보입니다. Q1 주식 ETF 포트폴리오 주요 구성은 국내(TIGER반도체TOP10 6.8%, K방산&amp;우주 1.5%) + 글로벌AI(Defense Tech 7.9%, AI전력인프라 5.4%) + 미국(Invesco Nasdaq 100 14.4%, SPDR S&amp;P 500 11.7%)입니다.</w:t>
      </w:r>
    </w:p>
    <w:p>
      <w:r>
        <w:rPr>
          <w:b/>
          <w:color w:val="043B72"/>
          <w:sz w:val="19"/>
        </w:rPr>
        <w:t>3-2. ETF AI MVP 시그널 및 성과</w:t>
      </w:r>
    </w:p>
    <w:p>
      <w:pPr>
        <w:spacing w:after="60"/>
      </w:pPr>
      <w:r>
        <w:t>Q4 2025 AI 시그널 (2025.10~12): 3개월 연속 Base → 적극형 주식 75% · 중립형 주식 45% 유지.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  <w:shd w:val="clear" w:color="auto" w:fill="043B72"/>
          </w:tcPr>
          <w:p>
            <w:r>
              <w:rPr>
                <w:b/>
                <w:color w:val="FFFFFF"/>
                <w:sz w:val="16"/>
              </w:rPr>
              <w:t>펀드</w:t>
            </w:r>
          </w:p>
        </w:tc>
        <w:tc>
          <w:tcPr>
            <w:tcW w:type="dxa" w:w="1392"/>
            <w:shd w:val="clear" w:color="auto" w:fill="043B72"/>
          </w:tcPr>
          <w:p>
            <w:r>
              <w:rPr>
                <w:b/>
                <w:color w:val="FFFFFF"/>
                <w:sz w:val="16"/>
              </w:rPr>
              <w:t>1M</w:t>
            </w:r>
          </w:p>
        </w:tc>
        <w:tc>
          <w:tcPr>
            <w:tcW w:type="dxa" w:w="1392"/>
            <w:shd w:val="clear" w:color="auto" w:fill="043B72"/>
          </w:tcPr>
          <w:p>
            <w:r>
              <w:rPr>
                <w:b/>
                <w:color w:val="FFFFFF"/>
                <w:sz w:val="16"/>
              </w:rPr>
              <w:t>3M</w:t>
            </w:r>
          </w:p>
        </w:tc>
        <w:tc>
          <w:tcPr>
            <w:tcW w:type="dxa" w:w="1392"/>
            <w:shd w:val="clear" w:color="auto" w:fill="043B72"/>
          </w:tcPr>
          <w:p>
            <w:r>
              <w:rPr>
                <w:b/>
                <w:color w:val="FFFFFF"/>
                <w:sz w:val="16"/>
              </w:rPr>
              <w:t>6M</w:t>
            </w:r>
          </w:p>
        </w:tc>
        <w:tc>
          <w:tcPr>
            <w:tcW w:type="dxa" w:w="1392"/>
            <w:shd w:val="clear" w:color="auto" w:fill="043B72"/>
          </w:tcPr>
          <w:p>
            <w:r>
              <w:rPr>
                <w:b/>
                <w:color w:val="FFFFFF"/>
                <w:sz w:val="16"/>
              </w:rPr>
              <w:t>1Y</w:t>
            </w:r>
          </w:p>
        </w:tc>
        <w:tc>
          <w:tcPr>
            <w:tcW w:type="dxa" w:w="1392"/>
            <w:shd w:val="clear" w:color="auto" w:fill="043B72"/>
          </w:tcPr>
          <w:p>
            <w:r>
              <w:rPr>
                <w:b/>
                <w:color w:val="FFFFFF"/>
                <w:sz w:val="16"/>
              </w:rPr>
              <w:t>누적</w:t>
            </w:r>
          </w:p>
        </w:tc>
        <w:tc>
          <w:tcPr>
            <w:tcW w:type="dxa" w:w="1392"/>
            <w:shd w:val="clear" w:color="auto" w:fill="043B72"/>
          </w:tcPr>
          <w:p>
            <w:r>
              <w:rPr>
                <w:b/>
                <w:color w:val="FFFFFF"/>
                <w:sz w:val="16"/>
              </w:rPr>
              <w:t>변동성</w:t>
            </w:r>
          </w:p>
        </w:tc>
      </w:tr>
      <w:tr>
        <w:tc>
          <w:tcPr>
            <w:tcW w:type="dxa" w:w="1392"/>
          </w:tcPr>
          <w:p>
            <w:r>
              <w:rPr>
                <w:sz w:val="17"/>
              </w:rPr>
              <w:t>ETF AI MVP (적극)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  <w:t>−0.3%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  <w:t>+5.2%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  <w:t>+16.4%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  <w:t>+15.0%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  <w:t>**+55.0%**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  <w:t>10.4%</w:t>
            </w:r>
          </w:p>
        </w:tc>
      </w:tr>
      <w:tr>
        <w:tc>
          <w:tcPr>
            <w:tcW w:type="dxa" w:w="1392"/>
            <w:shd w:val="clear" w:color="auto" w:fill="F5F8FC"/>
          </w:tcPr>
          <w:p>
            <w:r>
              <w:rPr>
                <w:sz w:val="17"/>
              </w:rPr>
              <w:t>ETF AI MVP (중립)</w:t>
            </w:r>
          </w:p>
        </w:tc>
        <w:tc>
          <w:tcPr>
            <w:tcW w:type="dxa" w:w="1392"/>
            <w:shd w:val="clear" w:color="auto" w:fill="F5F8FC"/>
          </w:tcPr>
          <w:p>
            <w:r>
              <w:rPr>
                <w:sz w:val="17"/>
              </w:rPr>
              <w:t>−0.3%</w:t>
            </w:r>
          </w:p>
        </w:tc>
        <w:tc>
          <w:tcPr>
            <w:tcW w:type="dxa" w:w="1392"/>
            <w:shd w:val="clear" w:color="auto" w:fill="F5F8FC"/>
          </w:tcPr>
          <w:p>
            <w:r>
              <w:rPr>
                <w:sz w:val="17"/>
              </w:rPr>
              <w:t>+3.3%</w:t>
            </w:r>
          </w:p>
        </w:tc>
        <w:tc>
          <w:tcPr>
            <w:tcW w:type="dxa" w:w="1392"/>
            <w:shd w:val="clear" w:color="auto" w:fill="F5F8FC"/>
          </w:tcPr>
          <w:p>
            <w:r>
              <w:rPr>
                <w:sz w:val="17"/>
              </w:rPr>
              <w:t>+10.5%</w:t>
            </w:r>
          </w:p>
        </w:tc>
        <w:tc>
          <w:tcPr>
            <w:tcW w:type="dxa" w:w="1392"/>
            <w:shd w:val="clear" w:color="auto" w:fill="F5F8FC"/>
          </w:tcPr>
          <w:p>
            <w:r>
              <w:rPr>
                <w:sz w:val="17"/>
              </w:rPr>
              <w:t>+9.4%</w:t>
            </w:r>
          </w:p>
        </w:tc>
        <w:tc>
          <w:tcPr>
            <w:tcW w:type="dxa" w:w="1392"/>
            <w:shd w:val="clear" w:color="auto" w:fill="F5F8FC"/>
          </w:tcPr>
          <w:p>
            <w:r>
              <w:rPr>
                <w:sz w:val="17"/>
              </w:rPr>
              <w:t>**+28.6%**</w:t>
            </w:r>
          </w:p>
        </w:tc>
        <w:tc>
          <w:tcPr>
            <w:tcW w:type="dxa" w:w="1392"/>
            <w:shd w:val="clear" w:color="auto" w:fill="F5F8FC"/>
          </w:tcPr>
          <w:p>
            <w:r>
              <w:rPr>
                <w:sz w:val="17"/>
              </w:rPr>
              <w:t>6.9%</w:t>
            </w:r>
          </w:p>
        </w:tc>
      </w:tr>
    </w:tbl>
    <w:p/>
    <w:p>
      <w:pPr>
        <w:spacing w:after="60"/>
      </w:pPr>
      <w:r>
        <w:t>AI 시그널은 매월 말 기준 향후 25영업일을 예측합니다. Q4 2025 Base 시그널은 글로벌 불확실성 대비 중립 포지션을 유지하였으며, 이는 결과적으로 Q1 호르무즈 충격 전후의 변동성을 일부 완충하는 효과를 거두었습니다.</w:t>
      </w:r>
    </w:p>
    <w:p/>
    <w:p>
      <w:pPr>
        <w:spacing w:before="240"/>
      </w:pPr>
      <w:r>
        <w:rPr>
          <w:b/>
          <w:color w:val="043B72"/>
          <w:sz w:val="24"/>
        </w:rPr>
        <w:t>4. 글로벌MVP주식형 — Q1 Top 10 종목 Comment</w:t>
      </w:r>
    </w:p>
    <w:p>
      <w:pPr>
        <w:spacing w:after="60"/>
      </w:pPr>
      <w:r>
        <w:t>(기준: 2026년 1월말 포트폴리오 / 2026년 2월말 성과)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043B72"/>
          </w:tcPr>
          <w:p>
            <w:r>
              <w:rPr>
                <w:b/>
                <w:color w:val="FFFFFF"/>
                <w:sz w:val="16"/>
              </w:rPr>
              <w:t>순위</w:t>
            </w:r>
          </w:p>
        </w:tc>
        <w:tc>
          <w:tcPr>
            <w:tcW w:type="dxa" w:w="1949"/>
            <w:shd w:val="clear" w:color="auto" w:fill="043B72"/>
          </w:tcPr>
          <w:p>
            <w:r>
              <w:rPr>
                <w:b/>
                <w:color w:val="FFFFFF"/>
                <w:sz w:val="16"/>
              </w:rPr>
              <w:t>종목</w:t>
            </w:r>
          </w:p>
        </w:tc>
        <w:tc>
          <w:tcPr>
            <w:tcW w:type="dxa" w:w="1949"/>
            <w:shd w:val="clear" w:color="auto" w:fill="043B72"/>
          </w:tcPr>
          <w:p>
            <w:r>
              <w:rPr>
                <w:b/>
                <w:color w:val="FFFFFF"/>
                <w:sz w:val="16"/>
              </w:rPr>
              <w:t>비중</w:t>
            </w:r>
          </w:p>
        </w:tc>
        <w:tc>
          <w:tcPr>
            <w:tcW w:type="dxa" w:w="1949"/>
            <w:shd w:val="clear" w:color="auto" w:fill="043B72"/>
          </w:tcPr>
          <w:p>
            <w:r>
              <w:rPr>
                <w:b/>
                <w:color w:val="FFFFFF"/>
                <w:sz w:val="16"/>
              </w:rPr>
              <w:t>1M 성과</w:t>
            </w:r>
          </w:p>
        </w:tc>
        <w:tc>
          <w:tcPr>
            <w:tcW w:type="dxa" w:w="1949"/>
            <w:shd w:val="clear" w:color="auto" w:fill="043B72"/>
          </w:tcPr>
          <w:p>
            <w:r>
              <w:rPr>
                <w:b/>
                <w:color w:val="FFFFFF"/>
                <w:sz w:val="16"/>
              </w:rPr>
              <w:t>핵심 이슈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Samsung Electronics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4.2%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+35%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엔비디아향 HBM4 첫 상용 출하, 갤럭시 S26 공개</w:t>
            </w:r>
          </w:p>
        </w:tc>
      </w:tr>
      <w:tr>
        <w:tc>
          <w:tcPr>
            <w:tcW w:type="dxa" w:w="1949"/>
            <w:shd w:val="clear" w:color="auto" w:fill="F5F8FC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949"/>
            <w:shd w:val="clear" w:color="auto" w:fill="F5F8FC"/>
          </w:tcPr>
          <w:p>
            <w:r>
              <w:rPr>
                <w:sz w:val="17"/>
              </w:rPr>
              <w:t>SK Hynix</w:t>
            </w:r>
          </w:p>
        </w:tc>
        <w:tc>
          <w:tcPr>
            <w:tcW w:type="dxa" w:w="1949"/>
            <w:shd w:val="clear" w:color="auto" w:fill="F5F8FC"/>
          </w:tcPr>
          <w:p>
            <w:r>
              <w:rPr>
                <w:sz w:val="17"/>
              </w:rPr>
              <w:t>4.2%</w:t>
            </w:r>
          </w:p>
        </w:tc>
        <w:tc>
          <w:tcPr>
            <w:tcW w:type="dxa" w:w="1949"/>
            <w:shd w:val="clear" w:color="auto" w:fill="F5F8FC"/>
          </w:tcPr>
          <w:p>
            <w:r>
              <w:rPr>
                <w:sz w:val="17"/>
              </w:rPr>
              <w:t>+18%</w:t>
            </w:r>
          </w:p>
        </w:tc>
        <w:tc>
          <w:tcPr>
            <w:tcW w:type="dxa" w:w="1949"/>
            <w:shd w:val="clear" w:color="auto" w:fill="F5F8FC"/>
          </w:tcPr>
          <w:p>
            <w:r>
              <w:rPr>
                <w:sz w:val="17"/>
              </w:rPr>
              <w:t>CAPEX 대폭 확대 공시, HBF 표준화 추진, 용인 팹 21.6조원 투자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Alphabet A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3.1%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−8%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100년물 채권 발행($10B+), Gemini 3 Deep Think 출시</w:t>
            </w:r>
          </w:p>
        </w:tc>
      </w:tr>
      <w:tr>
        <w:tc>
          <w:tcPr>
            <w:tcW w:type="dxa" w:w="1949"/>
            <w:shd w:val="clear" w:color="auto" w:fill="F5F8FC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949"/>
            <w:shd w:val="clear" w:color="auto" w:fill="F5F8FC"/>
          </w:tcPr>
          <w:p>
            <w:r>
              <w:rPr>
                <w:sz w:val="17"/>
              </w:rPr>
              <w:t>NVIDIA</w:t>
            </w:r>
          </w:p>
        </w:tc>
        <w:tc>
          <w:tcPr>
            <w:tcW w:type="dxa" w:w="1949"/>
            <w:shd w:val="clear" w:color="auto" w:fill="F5F8FC"/>
          </w:tcPr>
          <w:p>
            <w:r>
              <w:rPr>
                <w:sz w:val="17"/>
              </w:rPr>
              <w:t>3.0%</w:t>
            </w:r>
          </w:p>
        </w:tc>
        <w:tc>
          <w:tcPr>
            <w:tcW w:type="dxa" w:w="1949"/>
            <w:shd w:val="clear" w:color="auto" w:fill="F5F8FC"/>
          </w:tcPr>
          <w:p>
            <w:r>
              <w:rPr>
                <w:sz w:val="17"/>
              </w:rPr>
              <w:t>−7%</w:t>
            </w:r>
          </w:p>
        </w:tc>
        <w:tc>
          <w:tcPr>
            <w:tcW w:type="dxa" w:w="1949"/>
            <w:shd w:val="clear" w:color="auto" w:fill="F5F8FC"/>
          </w:tcPr>
          <w:p>
            <w:r>
              <w:rPr>
                <w:sz w:val="17"/>
              </w:rPr>
              <w:t>Q4 매출 +73% YoY($68.1B), 가이던스 $78B (예상 상회)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Meta Platforms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2.3%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−10%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AMD와 6GW 데이터센터 계약, AI 자체칩(올림푸스) 개발 중단</w:t>
            </w:r>
          </w:p>
        </w:tc>
      </w:tr>
      <w:tr>
        <w:tc>
          <w:tcPr>
            <w:tcW w:type="dxa" w:w="1949"/>
            <w:shd w:val="clear" w:color="auto" w:fill="F5F8FC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949"/>
            <w:shd w:val="clear" w:color="auto" w:fill="F5F8FC"/>
          </w:tcPr>
          <w:p>
            <w:r>
              <w:rPr>
                <w:sz w:val="17"/>
              </w:rPr>
              <w:t>TSMC ADR</w:t>
            </w:r>
          </w:p>
        </w:tc>
        <w:tc>
          <w:tcPr>
            <w:tcW w:type="dxa" w:w="1949"/>
            <w:shd w:val="clear" w:color="auto" w:fill="F5F8FC"/>
          </w:tcPr>
          <w:p>
            <w:r>
              <w:rPr>
                <w:sz w:val="17"/>
              </w:rPr>
              <w:t>2.1%</w:t>
            </w:r>
          </w:p>
        </w:tc>
        <w:tc>
          <w:tcPr>
            <w:tcW w:type="dxa" w:w="1949"/>
            <w:shd w:val="clear" w:color="auto" w:fill="F5F8FC"/>
          </w:tcPr>
          <w:p>
            <w:r>
              <w:rPr>
                <w:sz w:val="17"/>
              </w:rPr>
              <w:t>+13%</w:t>
            </w:r>
          </w:p>
        </w:tc>
        <w:tc>
          <w:tcPr>
            <w:tcW w:type="dxa" w:w="1949"/>
            <w:shd w:val="clear" w:color="auto" w:fill="F5F8FC"/>
          </w:tcPr>
          <w:p>
            <w:r>
              <w:rPr>
                <w:sz w:val="17"/>
              </w:rPr>
              <w:t>1월 매출 +37% YoY, 2026 CAPEX 560억달러(+25%)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Broadcom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1.6%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−4%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3D 적층 칩 100만개 2027년 판매 목표, EU 반독점 조사</w:t>
            </w:r>
          </w:p>
        </w:tc>
      </w:tr>
      <w:tr>
        <w:tc>
          <w:tcPr>
            <w:tcW w:type="dxa" w:w="1949"/>
            <w:shd w:val="clear" w:color="auto" w:fill="F5F8FC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949"/>
            <w:shd w:val="clear" w:color="auto" w:fill="F5F8FC"/>
          </w:tcPr>
          <w:p>
            <w:r>
              <w:rPr>
                <w:sz w:val="17"/>
              </w:rPr>
              <w:t>Netflix</w:t>
            </w:r>
          </w:p>
        </w:tc>
        <w:tc>
          <w:tcPr>
            <w:tcW w:type="dxa" w:w="1949"/>
            <w:shd w:val="clear" w:color="auto" w:fill="F5F8FC"/>
          </w:tcPr>
          <w:p>
            <w:r>
              <w:rPr>
                <w:sz w:val="17"/>
              </w:rPr>
              <w:t>1.6%</w:t>
            </w:r>
          </w:p>
        </w:tc>
        <w:tc>
          <w:tcPr>
            <w:tcW w:type="dxa" w:w="1949"/>
            <w:shd w:val="clear" w:color="auto" w:fill="F5F8FC"/>
          </w:tcPr>
          <w:p>
            <w:r>
              <w:rPr>
                <w:sz w:val="17"/>
              </w:rPr>
              <w:t>+15%</w:t>
            </w:r>
          </w:p>
        </w:tc>
        <w:tc>
          <w:tcPr>
            <w:tcW w:type="dxa" w:w="1949"/>
            <w:shd w:val="clear" w:color="auto" w:fill="F5F8FC"/>
          </w:tcPr>
          <w:p>
            <w:r>
              <w:rPr>
                <w:sz w:val="17"/>
              </w:rPr>
              <w:t>파라마운트·워너 인수전 포기(위약금 28억달러 수취)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ASML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1.0%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+2%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일본 TSMC 3nm 팹 → EUV 20~25대 추가 수요, 차세대 장비 $4억</w:t>
            </w:r>
          </w:p>
        </w:tc>
      </w:tr>
      <w:tr>
        <w:tc>
          <w:tcPr>
            <w:tcW w:type="dxa" w:w="1949"/>
            <w:shd w:val="clear" w:color="auto" w:fill="F5F8FC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949"/>
            <w:shd w:val="clear" w:color="auto" w:fill="F5F8FC"/>
          </w:tcPr>
          <w:p>
            <w:r>
              <w:rPr>
                <w:sz w:val="17"/>
              </w:rPr>
              <w:t>Micron Technology</w:t>
            </w:r>
          </w:p>
        </w:tc>
        <w:tc>
          <w:tcPr>
            <w:tcW w:type="dxa" w:w="1949"/>
            <w:shd w:val="clear" w:color="auto" w:fill="F5F8FC"/>
          </w:tcPr>
          <w:p>
            <w:r>
              <w:rPr>
                <w:sz w:val="17"/>
              </w:rPr>
              <w:t>1.0%</w:t>
            </w:r>
          </w:p>
        </w:tc>
        <w:tc>
          <w:tcPr>
            <w:tcW w:type="dxa" w:w="1949"/>
            <w:shd w:val="clear" w:color="auto" w:fill="F5F8FC"/>
          </w:tcPr>
          <w:p>
            <w:r>
              <w:rPr>
                <w:sz w:val="17"/>
              </w:rPr>
              <w:t>−1%</w:t>
            </w:r>
          </w:p>
        </w:tc>
        <w:tc>
          <w:tcPr>
            <w:tcW w:type="dxa" w:w="1949"/>
            <w:shd w:val="clear" w:color="auto" w:fill="F5F8FC"/>
          </w:tcPr>
          <w:p>
            <w:r>
              <w:rPr>
                <w:sz w:val="17"/>
              </w:rPr>
              <w:t>HBM4 고객사 인도 시작, 2026년 HBM 완판, 일정 1분기 단축</w:t>
            </w:r>
          </w:p>
        </w:tc>
      </w:tr>
    </w:tbl>
    <w:p/>
    <w:p/>
    <w:p>
      <w:pPr>
        <w:spacing w:before="240"/>
      </w:pPr>
      <w:r>
        <w:rPr>
          <w:b/>
          <w:color w:val="043B72"/>
          <w:sz w:val="24"/>
        </w:rPr>
        <w:t>5. Q2 2026 전망 및 포지셔닝</w:t>
      </w:r>
    </w:p>
    <w:p>
      <w:r>
        <w:rPr>
          <w:b/>
          <w:color w:val="043B72"/>
          <w:sz w:val="19"/>
        </w:rPr>
        <w:t>5-1. 중심 시나리오 (Base, 유력)</w:t>
      </w:r>
    </w:p>
    <w:p>
      <w:pPr>
        <w:spacing w:after="60"/>
      </w:pPr>
      <w:r>
        <w:t>호르무즈 외교 협상 장기화로 유가 $95~110 박스권이 형성되고, Fed 5월 동결 + 6월 SEP 인하 Q3~Q4 이연 시사("Higher for Longer, Not Hike")가 유력합니다. KOSPI 4,800~5,200 박스권 등락, S&amp;P500 6,400~6,700 박스권, USD/KRW 1,490~1,520 고원이 유지될 것으로 예상됩니다.</w:t>
      </w:r>
    </w:p>
    <w:p>
      <w:r>
        <w:rPr>
          <w:b/>
          <w:color w:val="043B72"/>
          <w:sz w:val="19"/>
        </w:rPr>
        <w:t>5-2. Bull 시나리오 (낮음)</w:t>
      </w:r>
    </w:p>
    <w:p>
      <w:pPr>
        <w:spacing w:after="60"/>
      </w:pPr>
      <w:r>
        <w:t>호르무즈 합의 + WTI $90 이하 안정 + 빅테크 Q1 실적 견조 시 KOSPI 5,300 회복, S&amp;P500 6,800 돌파, USD/KRW 1,470 하향 안정이 가능할 것으로 봅니다.</w:t>
      </w:r>
    </w:p>
    <w:p>
      <w:r>
        <w:rPr>
          <w:b/>
          <w:color w:val="043B72"/>
          <w:sz w:val="19"/>
        </w:rPr>
        <w:t>5-3. Bear 시나리오 (중간)</w:t>
      </w:r>
    </w:p>
    <w:p>
      <w:pPr>
        <w:spacing w:after="60"/>
      </w:pPr>
      <w:r>
        <w:t>호르무즈 확전 + WTI $120 돌파 + 4월 CPI 3.5% 이상 시 FOMC 인상 옵션이 현실화되며, KOSPI 4,500 하향 이탈 가능성과 VIX 35 이상의 변동성 확대가 우려됩니다.</w:t>
      </w:r>
    </w:p>
    <w:p>
      <w:r>
        <w:rPr>
          <w:b/>
          <w:color w:val="043B72"/>
          <w:sz w:val="19"/>
        </w:rPr>
        <w:t>5-4. Q2 핵심 관찰 포인트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043B72"/>
          </w:tcPr>
          <w:p>
            <w:r>
              <w:rPr>
                <w:b/>
                <w:color w:val="FFFFFF"/>
                <w:sz w:val="16"/>
              </w:rPr>
              <w:t>지표</w:t>
            </w:r>
          </w:p>
        </w:tc>
        <w:tc>
          <w:tcPr>
            <w:tcW w:type="dxa" w:w="3249"/>
            <w:shd w:val="clear" w:color="auto" w:fill="043B72"/>
          </w:tcPr>
          <w:p>
            <w:r>
              <w:rPr>
                <w:b/>
                <w:color w:val="FFFFFF"/>
                <w:sz w:val="16"/>
              </w:rPr>
              <w:t>Watch Level</w:t>
            </w:r>
          </w:p>
        </w:tc>
        <w:tc>
          <w:tcPr>
            <w:tcW w:type="dxa" w:w="3249"/>
            <w:shd w:val="clear" w:color="auto" w:fill="043B72"/>
          </w:tcPr>
          <w:p>
            <w:r>
              <w:rPr>
                <w:b/>
                <w:color w:val="FFFFFF"/>
                <w:sz w:val="16"/>
              </w:rPr>
              <w:t>의미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  <w:t>WTI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$110 재돌파 여부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인플레 재자극 vs. 외교 해소 분기점</w:t>
            </w:r>
          </w:p>
        </w:tc>
      </w:tr>
      <w:tr>
        <w:tc>
          <w:tcPr>
            <w:tcW w:type="dxa" w:w="3249"/>
            <w:shd w:val="clear" w:color="auto" w:fill="F5F8FC"/>
          </w:tcPr>
          <w:p>
            <w:r>
              <w:rPr>
                <w:sz w:val="17"/>
              </w:rPr>
              <w:t>4월 NFP &amp; CPI</w:t>
            </w:r>
          </w:p>
        </w:tc>
        <w:tc>
          <w:tcPr>
            <w:tcW w:type="dxa" w:w="3249"/>
            <w:shd w:val="clear" w:color="auto" w:fill="F5F8FC"/>
          </w:tcPr>
          <w:p>
            <w:r>
              <w:rPr>
                <w:sz w:val="17"/>
              </w:rPr>
              <w:t>NFP +100K 이상 / CPI 유가 전가율</w:t>
            </w:r>
          </w:p>
        </w:tc>
        <w:tc>
          <w:tcPr>
            <w:tcW w:type="dxa" w:w="3249"/>
            <w:shd w:val="clear" w:color="auto" w:fill="F5F8FC"/>
          </w:tcPr>
          <w:p>
            <w:r>
              <w:rPr>
                <w:sz w:val="17"/>
              </w:rPr>
              <w:t>Fed 스탠스 재점검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  <w:t>한은 4/9 금통위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원화 1,500원 고착 시 인하 딜레마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한국 채권·환율 변곡</w:t>
            </w:r>
          </w:p>
        </w:tc>
      </w:tr>
      <w:tr>
        <w:tc>
          <w:tcPr>
            <w:tcW w:type="dxa" w:w="3249"/>
            <w:shd w:val="clear" w:color="auto" w:fill="F5F8FC"/>
          </w:tcPr>
          <w:p>
            <w:r>
              <w:rPr>
                <w:sz w:val="17"/>
              </w:rPr>
              <w:t>빅테크 Q1 실적</w:t>
            </w:r>
          </w:p>
        </w:tc>
        <w:tc>
          <w:tcPr>
            <w:tcW w:type="dxa" w:w="3249"/>
            <w:shd w:val="clear" w:color="auto" w:fill="F5F8FC"/>
          </w:tcPr>
          <w:p>
            <w:r>
              <w:rPr>
                <w:sz w:val="17"/>
              </w:rPr>
              <w:t>NVDA·GOOG 가이던스</w:t>
            </w:r>
          </w:p>
        </w:tc>
        <w:tc>
          <w:tcPr>
            <w:tcW w:type="dxa" w:w="3249"/>
            <w:shd w:val="clear" w:color="auto" w:fill="F5F8FC"/>
          </w:tcPr>
          <w:p>
            <w:r>
              <w:rPr>
                <w:sz w:val="17"/>
              </w:rPr>
              <w:t>AI 인프라 사이클 지속 여부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  <w:t>KOSPI 5,000선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외국인 순매수 재개 여부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3월 35조원 매도 환매 가설</w:t>
            </w:r>
          </w:p>
        </w:tc>
      </w:tr>
    </w:tbl>
    <w:p/>
    <w:p>
      <w:r>
        <w:rPr>
          <w:b/>
          <w:color w:val="043B72"/>
          <w:sz w:val="19"/>
        </w:rPr>
        <w:t>5-5. 포지셔닝 시사점</w:t>
      </w:r>
    </w:p>
    <w:p>
      <w:pPr>
        <w:pStyle w:val="ListBullet"/>
      </w:pPr>
      <w:r>
        <w:t>- 국내주식 — Q2는 "OW 유지, 변동성 완충" 전략. 반도체(HBM 사이클)·전력기기·방산 3개 섹터 구조적 비중 유효. 삼성·하이닉스 외국인 지분 회복 여부 모니터링.</w:t>
      </w:r>
    </w:p>
    <w:p>
      <w:pPr>
        <w:pStyle w:val="ListBullet"/>
      </w:pPr>
      <w:r>
        <w:t>- 미국주식 — SW 대형주 UW · 반도체/광고(NVDA·Alphabet) N · 에너지·산업재 OW 프레임 Q2 유효. Microsoft −23.89% 낙폭 대비 Alphabet −8.06% 상대 선방.</w:t>
      </w:r>
    </w:p>
    <w:p>
      <w:pPr>
        <w:pStyle w:val="ListBullet"/>
      </w:pPr>
      <w:r>
        <w:t>- 중국 — 정부 지원 기반 반도체 자립주(TIGER 차이나반도체FACTSET) 선별 투자. 홍콩 빅테크는 선별적 접근.</w:t>
      </w:r>
    </w:p>
    <w:p>
      <w:pPr>
        <w:pStyle w:val="ListBullet"/>
      </w:pPr>
      <w:r>
        <w:t>- 채권 — 듀레이션 UW 유지. KR 원화채 미국 대비 상대 약세 구조 지속 가능. 하이일드·EM 채권 리스크 관리.</w:t>
      </w:r>
    </w:p>
    <w:p>
      <w:pPr>
        <w:pStyle w:val="ListBullet"/>
      </w:pPr>
      <w:r>
        <w:t>- AI MVP 시그널 — Q4 2025 3개월 연속 Base 유지. Q1 호르무즈 충격 경험으로 Bear 시그널 대응 준비 강화.</w:t>
      </w:r>
    </w:p>
    <w:p/>
    <w:p>
      <w:pPr>
        <w:spacing w:before="240"/>
      </w:pPr>
      <w:r>
        <w:rPr>
          <w:b/>
          <w:color w:val="043B72"/>
          <w:sz w:val="24"/>
        </w:rPr>
        <w:t>6. 운용 메모</w:t>
      </w:r>
    </w:p>
    <w:p>
      <w:pPr>
        <w:ind w:left="454"/>
      </w:pPr>
      <w:r>
        <w:rPr>
          <w:i/>
          <w:color w:val="5A4020"/>
          <w:sz w:val="18"/>
        </w:rPr>
        <w:t>"순풍인 줄 알았더니 역풍이었습니다." — 2026 Q1 MVP Letter, 고객자산운용팀</w:t>
      </w:r>
    </w:p>
    <w:p>
      <w:pPr>
        <w:spacing w:after="60"/>
      </w:pPr>
      <w:r>
        <w:t>Q1이 남긴 교훈은 두 가지입니다. 첫째, AI는 소프트웨어의 역풍이 될 수 있습니다 — 파운데이션 모델의 발전이 전통 SaaS 비즈니스 모델을 위협하는 속도가 예상을 넘어섰습니다. 전략적 SaaS 비중 축소와 AI 인프라 집중은 Q1 포트폴리오를 방어하는 데 기여하였습니다. 둘째, 지정학 리스크는 섹터를 가리지 않습니다 — 호르무즈 봉쇄는 유가뿐 아니라 채권·원화·반도체 전반에 연쇄적으로 파급되었습니다. 골드 5%P 추가와 MMF 유동성 확보는 유효한 헤지로 작용하였습니다.</w:t>
      </w:r>
    </w:p>
    <w:p>
      <w:pPr>
        <w:spacing w:after="60"/>
      </w:pPr>
      <w:r>
        <w:t>Q2는 "변동성 속 수익 방어"의 분기입니다. AI 인프라 투자는 구조적 트렌드로 유효하지만, TurboQuant 쇼크가 보여주듯 기술 혁신의 방향은 일정하지 않습니다. 분산과 시그널 기반 유연성이 MVP의 핵심 경쟁력임을 재확인한 분기였습니다.</w:t>
      </w:r>
    </w:p>
    <w:p/>
    <w:p>
      <w:pPr>
        <w:spacing w:after="60"/>
      </w:pPr>
      <w:r>
        <w:t>본 보고서는 미래에셋생명보험㈜ 고객자산운용팀이 작성하였으며, 투자 결과에 대한 법적 책임의 증빙자료로 사용될 수 없습니다. 과거 성과는 미래 수익을 보장하지 않습니다.</w:t>
      </w:r>
    </w:p>
    <w:p>
      <w:pPr>
        <w:spacing w:after="60"/>
      </w:pPr>
      <w:r>
        <w:t>준법감시인심의필-26-01-013 (2026.01.13 ~ 2027.01.12)</w:t>
      </w:r>
    </w:p>
    <w:p>
      <w:pPr>
        <w:spacing w:before="320"/>
      </w:pPr>
      <w:r>
        <w:rPr>
          <w:color w:val="6B7FA3"/>
          <w:sz w:val="15"/>
        </w:rPr>
        <w:t>본 보고서는 미래에셋생명보험㈜ 고객자산운용팀이 작성하였으며, 투자 결과에 대한 법적 책임의 증빙자료로 사용될 수 없습니다. 과거 성과는 미래 수익을 보장하지 않습니다. 준법감시인심의필-26-01-013 (2026.01.13 ~ 2027.01.12)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