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1C2B3A"/>
            <w:tcMar>
              <w:top w:w="200" w:type="dxa"/>
              <w:left w:w="200" w:type="dxa"/>
              <w:bottom w:w="200" w:type="dxa"/>
              <w:right w:w="200" w:type="dxa"/>
            </w:tcMar>
          </w:tcPr>
          <w:p>
            <w:r>
              <w:rPr>
                <w:rFonts w:ascii="Arial" w:hAnsi="Arial"/>
                <w:b/>
                <w:color w:val="006EC9"/>
                <w:sz w:val="20"/>
              </w:rPr>
              <w:t>TRADE SECRETS UNLOCKED</w:t>
            </w:r>
          </w:p>
          <w:p>
            <w:r>
              <w:rPr>
                <w:rFonts w:ascii="Arial" w:hAnsi="Arial"/>
                <w:b/>
                <w:color w:val="FFFFFF"/>
                <w:sz w:val="44"/>
              </w:rPr>
              <w:t>TSU Platform Migration</w:t>
              <w:br/>
              <w:t>&amp; Growth Plan</w:t>
            </w:r>
          </w:p>
          <w:p>
            <w:r>
              <w:rPr>
                <w:rFonts w:ascii="Arial" w:hAnsi="Arial"/>
                <w:color w:val="A0C4E8"/>
                <w:sz w:val="20"/>
              </w:rPr>
              <w:t>Offer Restructure  ·  Bridge Migration  ·  SaaS Platform  ·  AI Layer</w:t>
            </w:r>
          </w:p>
          <w:p>
            <w:r>
              <w:rPr>
                <w:rFonts w:ascii="Arial" w:hAnsi="Arial"/>
                <w:color w:val="77A0C0"/>
                <w:sz w:val="18"/>
              </w:rPr>
              <w:t>Version 1.0  |  May 2026  |  Internal Strategy Document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8F4FD"/>
            <w:tcBorders>
              <w:top w:val="single" w:sz="6" w:color="006EC9"/>
              <w:left w:val="single" w:sz="6" w:color="006EC9"/>
              <w:bottom w:val="single" w:sz="6" w:color="006EC9"/>
              <w:right w:val="single" w:sz="6" w:color="006EC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006EC9"/>
                <w:sz w:val="20"/>
              </w:rPr>
              <w:t xml:space="preserve">STRATEGIC OBJECTIVE:  </w:t>
            </w:r>
            <w:r>
              <w:rPr>
                <w:rFonts w:ascii="Arial" w:hAnsi="Arial"/>
                <w:color w:val="1A1A1A"/>
                <w:sz w:val="20"/>
              </w:rPr>
              <w:t>Convert TSU from a one-time overlay build service into a multi-tenant SaaS platform (TSU Stream OS) with recurring revenue, automated onboarding, centralized bridge infrastructure, a client analytics dashboard, and an AI business intelligence layer — making TSU the operating system for card break businesses on Whatnot.</w:t>
            </w:r>
          </w:p>
        </w:tc>
      </w:tr>
    </w:tbl>
    <w:p>
      <w:pPr>
        <w:spacing w:after="80"/>
      </w:pPr>
    </w:p>
    <w:p>
      <w:pPr>
        <w:spacing w:before="320" w:after="80"/>
        <w:pBdr>
          <w:bottom w:val="single" w:sz="8" w:space="4" w:color="006EC9"/>
        </w:pBdr>
      </w:pPr>
      <w:r>
        <w:rPr>
          <w:rFonts w:ascii="Arial" w:hAnsi="Arial"/>
          <w:b/>
          <w:color w:val="1C2B3A"/>
          <w:sz w:val="30"/>
        </w:rPr>
        <w:t>1.  Vision &amp; Strategic Framework</w:t>
      </w:r>
    </w:p>
    <w:p>
      <w:pPr>
        <w:spacing w:before="0" w:after="120"/>
      </w:pPr>
      <w:r>
        <w:rPr>
          <w:rFonts w:ascii="Arial" w:hAnsi="Arial"/>
          <w:b w:val="0"/>
          <w:i w:val="0"/>
          <w:sz w:val="20"/>
        </w:rPr>
        <w:t>The core reframe: TSU is not an overlay company. TSU is the operating system for card break businesses on Whatnot. The overlay is the front door. The platform is the business.</w:t>
      </w:r>
    </w:p>
    <w:p>
      <w:pPr>
        <w:spacing w:before="0" w:after="60"/>
      </w:pPr>
      <w:r>
        <w:rPr>
          <w:rFonts w:ascii="Arial" w:hAnsi="Arial"/>
          <w:b/>
          <w:i w:val="0"/>
          <w:sz w:val="20"/>
        </w:rPr>
        <w:t>Applying the Hormozi Value Equation:</w:t>
      </w:r>
    </w:p>
    <w:p>
      <w:pPr>
        <w:pStyle w:val="ListBullet"/>
        <w:spacing w:after="40"/>
        <w:ind w:left="288"/>
      </w:pPr>
      <w:r>
        <w:rPr>
          <w:rFonts w:ascii="Arial" w:hAnsi="Arial"/>
          <w:color w:val="1A1A1A"/>
          <w:sz w:val="20"/>
        </w:rPr>
        <w:t>Dream Outcome: Running a thriving, professional card break operation generating $5K–$20K/month without managing any of the tech yourself</w:t>
      </w:r>
    </w:p>
    <w:p>
      <w:pPr>
        <w:pStyle w:val="ListBullet"/>
        <w:spacing w:after="40"/>
        <w:ind w:left="288"/>
      </w:pPr>
      <w:r>
        <w:rPr>
          <w:rFonts w:ascii="Arial" w:hAnsi="Arial"/>
          <w:color w:val="1A1A1A"/>
          <w:sz w:val="20"/>
        </w:rPr>
        <w:t>Perceived Likelihood: High — proven by 60+ delivered builds and visible results</w:t>
      </w:r>
    </w:p>
    <w:p>
      <w:pPr>
        <w:pStyle w:val="ListBullet"/>
        <w:spacing w:after="40"/>
        <w:ind w:left="288"/>
      </w:pPr>
      <w:r>
        <w:rPr>
          <w:rFonts w:ascii="Arial" w:hAnsi="Arial"/>
          <w:color w:val="1A1A1A"/>
          <w:sz w:val="20"/>
        </w:rPr>
        <w:t>Time Delay: Minimized — ASAP is the answer from 100% of discovery call respondents</w:t>
      </w:r>
    </w:p>
    <w:p>
      <w:pPr>
        <w:pStyle w:val="ListBullet"/>
        <w:spacing w:after="40"/>
        <w:ind w:left="288"/>
      </w:pPr>
      <w:r>
        <w:rPr>
          <w:rFonts w:ascii="Arial" w:hAnsi="Arial"/>
          <w:color w:val="1A1A1A"/>
          <w:sz w:val="20"/>
        </w:rPr>
        <w:t>Effort &amp; Sacrifice: Eliminated — TSU handles everything tech-related permanently</w:t>
      </w:r>
    </w:p>
    <w:p>
      <w:pPr>
        <w:spacing w:before="0" w:after="8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8F5E9"/>
            <w:tcBorders>
              <w:top w:val="single" w:sz="6" w:color="28A745"/>
              <w:left w:val="single" w:sz="6" w:color="28A745"/>
              <w:bottom w:val="single" w:sz="6" w:color="28A745"/>
              <w:right w:val="single" w:sz="6" w:color="28A745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1A7F3C"/>
                <w:sz w:val="20"/>
              </w:rPr>
              <w:t xml:space="preserve">THE ONE-SENTENCE PITCH:  </w:t>
            </w:r>
            <w:r>
              <w:rPr>
                <w:rFonts w:ascii="Arial" w:hAnsi="Arial"/>
                <w:color w:val="1A1A1A"/>
                <w:sz w:val="20"/>
              </w:rPr>
              <w:t>"TSU Stream OS runs the entire tech side of your card break business — your overlay stays live and updated, sales sync automatically, and as we build out analytics and AI tools, you're first in line. $97/month, cancel any time."</w:t>
            </w:r>
          </w:p>
        </w:tc>
      </w:tr>
    </w:tbl>
    <w:p>
      <w:pPr>
        <w:spacing w:after="80"/>
      </w:pPr>
    </w:p>
    <w:p>
      <w:pPr>
        <w:spacing w:before="320" w:after="80"/>
        <w:pBdr>
          <w:bottom w:val="single" w:sz="8" w:space="4" w:color="006EC9"/>
        </w:pBdr>
      </w:pPr>
      <w:r>
        <w:rPr>
          <w:rFonts w:ascii="Arial" w:hAnsi="Arial"/>
          <w:b/>
          <w:color w:val="1C2B3A"/>
          <w:sz w:val="30"/>
        </w:rPr>
        <w:t>2.  Final Offer Stack &amp; Pricing</w:t>
      </w:r>
    </w:p>
    <w:p>
      <w:pPr>
        <w:spacing w:before="0" w:after="120"/>
      </w:pPr>
      <w:r>
        <w:rPr>
          <w:rFonts w:ascii="Arial" w:hAnsi="Arial"/>
          <w:b w:val="0"/>
          <w:i w:val="0"/>
          <w:sz w:val="20"/>
        </w:rPr>
        <w:t>Built on a product ladder that maximizes LTV while maintaining accessible entry points. Every paid tier above Quick Launch requires the Stream OS platform subscription.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008"/>
            <w:shd w:val="clear" w:color="auto" w:fill="1C2B3A"/>
            <w:tcBorders>
              <w:top w:val="single" w:sz="4" w:color="1C2B3A"/>
              <w:left w:val="single" w:sz="4" w:color="1C2B3A"/>
              <w:bottom w:val="single" w:sz="4" w:color="1C2B3A"/>
              <w:right w:val="single" w:sz="4" w:color="1C2B3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Tier</w:t>
            </w:r>
          </w:p>
        </w:tc>
        <w:tc>
          <w:tcPr>
            <w:tcW w:type="dxa" w:w="1872"/>
            <w:shd w:val="clear" w:color="auto" w:fill="1C2B3A"/>
            <w:tcBorders>
              <w:top w:val="single" w:sz="4" w:color="1C2B3A"/>
              <w:left w:val="single" w:sz="4" w:color="1C2B3A"/>
              <w:bottom w:val="single" w:sz="4" w:color="1C2B3A"/>
              <w:right w:val="single" w:sz="4" w:color="1C2B3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Product</w:t>
            </w:r>
          </w:p>
        </w:tc>
        <w:tc>
          <w:tcPr>
            <w:tcW w:type="dxa" w:w="1296"/>
            <w:shd w:val="clear" w:color="auto" w:fill="1C2B3A"/>
            <w:tcBorders>
              <w:top w:val="single" w:sz="4" w:color="1C2B3A"/>
              <w:left w:val="single" w:sz="4" w:color="1C2B3A"/>
              <w:bottom w:val="single" w:sz="4" w:color="1C2B3A"/>
              <w:right w:val="single" w:sz="4" w:color="1C2B3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Price</w:t>
            </w:r>
          </w:p>
        </w:tc>
        <w:tc>
          <w:tcPr>
            <w:tcW w:type="dxa" w:w="1440"/>
            <w:shd w:val="clear" w:color="auto" w:fill="1C2B3A"/>
            <w:tcBorders>
              <w:top w:val="single" w:sz="4" w:color="1C2B3A"/>
              <w:left w:val="single" w:sz="4" w:color="1C2B3A"/>
              <w:bottom w:val="single" w:sz="4" w:color="1C2B3A"/>
              <w:right w:val="single" w:sz="4" w:color="1C2B3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Type</w:t>
            </w:r>
          </w:p>
        </w:tc>
        <w:tc>
          <w:tcPr>
            <w:tcW w:type="dxa" w:w="3744"/>
            <w:shd w:val="clear" w:color="auto" w:fill="1C2B3A"/>
            <w:tcBorders>
              <w:top w:val="single" w:sz="4" w:color="1C2B3A"/>
              <w:left w:val="single" w:sz="4" w:color="1C2B3A"/>
              <w:bottom w:val="single" w:sz="4" w:color="1C2B3A"/>
              <w:right w:val="single" w:sz="4" w:color="1C2B3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Key Value Prop</w:t>
            </w:r>
          </w:p>
        </w:tc>
      </w:tr>
      <w:tr>
        <w:tc>
          <w:tcPr>
            <w:tcW w:type="dxa" w:w="1008"/>
            <w:shd w:val="clear" w:color="auto" w:fill="F8FB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8"/>
              </w:rPr>
              <w:t>Entry</w:t>
            </w:r>
          </w:p>
        </w:tc>
        <w:tc>
          <w:tcPr>
            <w:tcW w:type="dxa" w:w="1872"/>
            <w:shd w:val="clear" w:color="auto" w:fill="F8FB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8"/>
              </w:rPr>
              <w:t>Quick Launch</w:t>
            </w:r>
          </w:p>
        </w:tc>
        <w:tc>
          <w:tcPr>
            <w:tcW w:type="dxa" w:w="1296"/>
            <w:shd w:val="clear" w:color="auto" w:fill="F8FB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8"/>
              </w:rPr>
              <w:t>$197 one-time</w:t>
            </w:r>
          </w:p>
        </w:tc>
        <w:tc>
          <w:tcPr>
            <w:tcW w:type="dxa" w:w="1440"/>
            <w:shd w:val="clear" w:color="auto" w:fill="F8FB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8"/>
              </w:rPr>
              <w:t>One-time</w:t>
            </w:r>
          </w:p>
        </w:tc>
        <w:tc>
          <w:tcPr>
            <w:tcW w:type="dxa" w:w="3744"/>
            <w:shd w:val="clear" w:color="auto" w:fill="F8FB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8"/>
              </w:rPr>
              <w:t>1 sport, 1 layout, OBS guide, 30-min onboarding, 30-day email support</w:t>
            </w:r>
          </w:p>
        </w:tc>
      </w:tr>
      <w:tr>
        <w:tc>
          <w:tcPr>
            <w:tcW w:type="dxa" w:w="1008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8"/>
              </w:rPr>
              <w:t>Core</w:t>
            </w:r>
          </w:p>
        </w:tc>
        <w:tc>
          <w:tcPr>
            <w:tcW w:type="dxa" w:w="1872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8"/>
              </w:rPr>
              <w:t>Stream Pro</w:t>
            </w:r>
          </w:p>
        </w:tc>
        <w:tc>
          <w:tcPr>
            <w:tcW w:type="dxa" w:w="1296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8"/>
              </w:rPr>
              <w:t>$398 one-time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8"/>
              </w:rPr>
              <w:t>One-time + Stream OS required</w:t>
            </w:r>
          </w:p>
        </w:tc>
        <w:tc>
          <w:tcPr>
            <w:tcW w:type="dxa" w:w="3744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8"/>
              </w:rPr>
              <w:t>3 sports, full automation, stream graphics, 2x setup sessions, priority beta</w:t>
            </w:r>
          </w:p>
        </w:tc>
      </w:tr>
      <w:tr>
        <w:tc>
          <w:tcPr>
            <w:tcW w:type="dxa" w:w="1008"/>
            <w:shd w:val="clear" w:color="auto" w:fill="F8FB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8"/>
              </w:rPr>
              <w:t>Premium</w:t>
            </w:r>
          </w:p>
        </w:tc>
        <w:tc>
          <w:tcPr>
            <w:tcW w:type="dxa" w:w="1872"/>
            <w:shd w:val="clear" w:color="auto" w:fill="F8FB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8"/>
              </w:rPr>
              <w:t>Custom Build</w:t>
            </w:r>
          </w:p>
        </w:tc>
        <w:tc>
          <w:tcPr>
            <w:tcW w:type="dxa" w:w="1296"/>
            <w:shd w:val="clear" w:color="auto" w:fill="F8FB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8"/>
              </w:rPr>
              <w:t>$650–$1,500</w:t>
            </w:r>
          </w:p>
        </w:tc>
        <w:tc>
          <w:tcPr>
            <w:tcW w:type="dxa" w:w="1440"/>
            <w:shd w:val="clear" w:color="auto" w:fill="F8FB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8"/>
              </w:rPr>
              <w:t>One-time + Stream OS required</w:t>
            </w:r>
          </w:p>
        </w:tc>
        <w:tc>
          <w:tcPr>
            <w:tcW w:type="dxa" w:w="3744"/>
            <w:shd w:val="clear" w:color="auto" w:fill="F8FB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8"/>
              </w:rPr>
              <w:t>Full custom design, non-standard layouts, dedicated build consultations</w:t>
            </w:r>
          </w:p>
        </w:tc>
      </w:tr>
      <w:tr>
        <w:tc>
          <w:tcPr>
            <w:tcW w:type="dxa" w:w="1008"/>
            <w:shd w:val="clear" w:color="auto" w:fill="FFF8E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856000"/>
                <w:sz w:val="18"/>
              </w:rPr>
              <w:t>⭐ SUB</w:t>
            </w:r>
          </w:p>
        </w:tc>
        <w:tc>
          <w:tcPr>
            <w:tcW w:type="dxa" w:w="1872"/>
            <w:shd w:val="clear" w:color="auto" w:fill="FFF8E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856000"/>
                <w:sz w:val="18"/>
              </w:rPr>
              <w:t>TSU Stream OS</w:t>
            </w:r>
          </w:p>
        </w:tc>
        <w:tc>
          <w:tcPr>
            <w:tcW w:type="dxa" w:w="1296"/>
            <w:shd w:val="clear" w:color="auto" w:fill="FFF8E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856000"/>
                <w:sz w:val="18"/>
              </w:rPr>
              <w:t>$97/month</w:t>
            </w:r>
          </w:p>
        </w:tc>
        <w:tc>
          <w:tcPr>
            <w:tcW w:type="dxa" w:w="1440"/>
            <w:shd w:val="clear" w:color="auto" w:fill="FFF8E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856000"/>
                <w:sz w:val="18"/>
              </w:rPr>
              <w:t>Subscription — THE business</w:t>
            </w:r>
          </w:p>
        </w:tc>
        <w:tc>
          <w:tcPr>
            <w:tcW w:type="dxa" w:w="3744"/>
            <w:shd w:val="clear" w:color="auto" w:fill="FFF8E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856000"/>
                <w:sz w:val="18"/>
              </w:rPr>
              <w:t>Hosted overlay + maintenance, monthly widget drops, bridge uptime, priority support</w:t>
            </w:r>
          </w:p>
        </w:tc>
      </w:tr>
      <w:tr>
        <w:tc>
          <w:tcPr>
            <w:tcW w:type="dxa" w:w="1008"/>
            <w:shd w:val="clear" w:color="auto" w:fill="F8FB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8"/>
              </w:rPr>
              <w:t>Pro Sub</w:t>
            </w:r>
          </w:p>
        </w:tc>
        <w:tc>
          <w:tcPr>
            <w:tcW w:type="dxa" w:w="1872"/>
            <w:shd w:val="clear" w:color="auto" w:fill="F8FB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8"/>
              </w:rPr>
              <w:t>Stream OS Pro</w:t>
            </w:r>
          </w:p>
        </w:tc>
        <w:tc>
          <w:tcPr>
            <w:tcW w:type="dxa" w:w="1296"/>
            <w:shd w:val="clear" w:color="auto" w:fill="F8FB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8"/>
              </w:rPr>
              <w:t>$197/month</w:t>
            </w:r>
          </w:p>
        </w:tc>
        <w:tc>
          <w:tcPr>
            <w:tcW w:type="dxa" w:w="1440"/>
            <w:shd w:val="clear" w:color="auto" w:fill="F8FB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8"/>
              </w:rPr>
              <w:t>Subscription (Phase 3 unlock)</w:t>
            </w:r>
          </w:p>
        </w:tc>
        <w:tc>
          <w:tcPr>
            <w:tcW w:type="dxa" w:w="3744"/>
            <w:shd w:val="clear" w:color="auto" w:fill="F8FB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8"/>
              </w:rPr>
              <w:t>Everything in Stream OS + break analytics dashboard, revenue tracking, widget management</w:t>
            </w:r>
          </w:p>
        </w:tc>
      </w:tr>
      <w:tr>
        <w:tc>
          <w:tcPr>
            <w:tcW w:type="dxa" w:w="1008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8"/>
              </w:rPr>
              <w:t>Elite</w:t>
            </w:r>
          </w:p>
        </w:tc>
        <w:tc>
          <w:tcPr>
            <w:tcW w:type="dxa" w:w="1872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8"/>
              </w:rPr>
              <w:t>TSU Inner Circle</w:t>
            </w:r>
          </w:p>
        </w:tc>
        <w:tc>
          <w:tcPr>
            <w:tcW w:type="dxa" w:w="1296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8"/>
              </w:rPr>
              <w:t>$500–$1,000/mo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8"/>
              </w:rPr>
              <w:t>Subscription (Phase 4 launch)</w:t>
            </w:r>
          </w:p>
        </w:tc>
        <w:tc>
          <w:tcPr>
            <w:tcW w:type="dxa" w:w="3744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8"/>
              </w:rPr>
              <w:t>Stream OS Pro + AI insights, monthly group strategy calls, early feature access, 10 seats max</w:t>
            </w:r>
          </w:p>
        </w:tc>
      </w:tr>
    </w:tbl>
    <w:p>
      <w:pPr>
        <w:spacing w:after="120"/>
      </w:pPr>
    </w:p>
    <w:p>
      <w:pPr>
        <w:spacing w:before="240" w:after="60"/>
      </w:pPr>
      <w:r>
        <w:rPr>
          <w:rFonts w:ascii="Arial" w:hAnsi="Arial"/>
          <w:b/>
          <w:color w:val="006EC9"/>
          <w:sz w:val="24"/>
        </w:rPr>
        <w:t>2.1  Guarantee (Risk Reversal)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FF8E1"/>
            <w:tcBorders>
              <w:top w:val="single" w:sz="6" w:color="FFC107"/>
              <w:left w:val="single" w:sz="6" w:color="FFC107"/>
              <w:bottom w:val="single" w:sz="6" w:color="FFC107"/>
              <w:right w:val="single" w:sz="6" w:color="FFC107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856000"/>
                <w:sz w:val="20"/>
              </w:rPr>
              <w:t xml:space="preserve">30-DAY GUARANTEE:  </w:t>
            </w:r>
            <w:r>
              <w:rPr>
                <w:rFonts w:ascii="Arial" w:hAnsi="Arial"/>
                <w:color w:val="1A1A1A"/>
                <w:sz w:val="20"/>
              </w:rPr>
              <w:t>"If your stream doesn't look more professional than anything else on your platform within 30 days of going live, we'll rebuild it from scratch — for free. No questions asked." This turns a $398 decision into a zero-risk bet and should appear above the fold on the landing page.</w:t>
            </w:r>
          </w:p>
        </w:tc>
      </w:tr>
    </w:tbl>
    <w:p>
      <w:pPr>
        <w:spacing w:after="80"/>
      </w:pPr>
    </w:p>
    <w:p>
      <w:pPr>
        <w:spacing w:before="240" w:after="60"/>
      </w:pPr>
      <w:r>
        <w:rPr>
          <w:rFonts w:ascii="Arial" w:hAnsi="Arial"/>
          <w:b/>
          <w:color w:val="006EC9"/>
          <w:sz w:val="24"/>
        </w:rPr>
        <w:t>2.2  Bonus Stack ($538 in Value)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5040"/>
            <w:shd w:val="clear" w:color="auto" w:fill="1C2B3A"/>
            <w:tcBorders>
              <w:top w:val="single" w:sz="4" w:color="1C2B3A"/>
              <w:left w:val="single" w:sz="4" w:color="1C2B3A"/>
              <w:bottom w:val="single" w:sz="4" w:color="1C2B3A"/>
              <w:right w:val="single" w:sz="4" w:color="1C2B3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Task</w:t>
            </w:r>
          </w:p>
        </w:tc>
        <w:tc>
          <w:tcPr>
            <w:tcW w:type="dxa" w:w="1440"/>
            <w:shd w:val="clear" w:color="auto" w:fill="1C2B3A"/>
            <w:tcBorders>
              <w:top w:val="single" w:sz="4" w:color="1C2B3A"/>
              <w:left w:val="single" w:sz="4" w:color="1C2B3A"/>
              <w:bottom w:val="single" w:sz="4" w:color="1C2B3A"/>
              <w:right w:val="single" w:sz="4" w:color="1C2B3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440"/>
            <w:shd w:val="clear" w:color="auto" w:fill="1C2B3A"/>
            <w:tcBorders>
              <w:top w:val="single" w:sz="4" w:color="1C2B3A"/>
              <w:left w:val="single" w:sz="4" w:color="1C2B3A"/>
              <w:bottom w:val="single" w:sz="4" w:color="1C2B3A"/>
              <w:right w:val="single" w:sz="4" w:color="1C2B3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Priority</w:t>
            </w:r>
          </w:p>
        </w:tc>
        <w:tc>
          <w:tcPr>
            <w:tcW w:type="dxa" w:w="1440"/>
            <w:shd w:val="clear" w:color="auto" w:fill="1C2B3A"/>
            <w:tcBorders>
              <w:top w:val="single" w:sz="4" w:color="1C2B3A"/>
              <w:left w:val="single" w:sz="4" w:color="1C2B3A"/>
              <w:bottom w:val="single" w:sz="4" w:color="1C2B3A"/>
              <w:right w:val="single" w:sz="4" w:color="1C2B3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Target</w:t>
            </w:r>
          </w:p>
        </w:tc>
      </w:tr>
      <w:tr>
        <w:tc>
          <w:tcPr>
            <w:tcW w:type="dxa" w:w="50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The Whatnot Break Playbook — how to structure a break to maximize sales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Included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$197 value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All paid tiers</w:t>
            </w:r>
          </w:p>
        </w:tc>
      </w:tr>
      <w:tr>
        <w:tc>
          <w:tcPr>
            <w:tcW w:type="dxa" w:w="50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Stream Optimization Checklist — 27-point pro stream setup guide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Included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$97 value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All paid tiers</w:t>
            </w:r>
          </w:p>
        </w:tc>
      </w:tr>
      <w:tr>
        <w:tc>
          <w:tcPr>
            <w:tcW w:type="dxa" w:w="50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TSU Bridge Auto-Sold Walkthrough — full automation video tutorial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Included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$147 value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Stream Pro+</w:t>
            </w:r>
          </w:p>
        </w:tc>
      </w:tr>
      <w:tr>
        <w:tc>
          <w:tcPr>
            <w:tcW w:type="dxa" w:w="50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Break Pricing Template — how to price your breaks for max revenue per slot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Included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$97 value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All paid tiers</w:t>
            </w:r>
          </w:p>
        </w:tc>
      </w:tr>
    </w:tbl>
    <w:p>
      <w:pPr>
        <w:spacing w:after="120"/>
      </w:pPr>
    </w:p>
    <w:p>
      <w:pPr>
        <w:spacing w:before="240" w:after="60"/>
      </w:pPr>
      <w:r>
        <w:rPr>
          <w:rFonts w:ascii="Arial" w:hAnsi="Arial"/>
          <w:b/>
          <w:color w:val="006EC9"/>
          <w:sz w:val="24"/>
        </w:rPr>
        <w:t>2.3  Scarcity &amp; Urgency Mechanics</w:t>
      </w:r>
    </w:p>
    <w:p>
      <w:pPr>
        <w:pStyle w:val="ListBullet"/>
        <w:spacing w:after="40"/>
        <w:ind w:left="288"/>
      </w:pPr>
      <w:r>
        <w:rPr>
          <w:rFonts w:ascii="Arial" w:hAnsi="Arial"/>
          <w:color w:val="1A1A1A"/>
          <w:sz w:val="20"/>
        </w:rPr>
        <w:t>"Only 5 custom build slots per week" — real constraint while manual build process is active. Retire when automation increases throughput.</w:t>
      </w:r>
    </w:p>
    <w:p>
      <w:pPr>
        <w:pStyle w:val="ListBullet"/>
        <w:spacing w:after="40"/>
        <w:ind w:left="288"/>
      </w:pPr>
      <w:r>
        <w:rPr>
          <w:rFonts w:ascii="Arial" w:hAnsi="Arial"/>
          <w:color w:val="1A1A1A"/>
          <w:sz w:val="20"/>
        </w:rPr>
        <w:t>Founding Member Rate: $97/mo locked before price rises to $147/mo. Finite window.</w:t>
      </w:r>
    </w:p>
    <w:p>
      <w:pPr>
        <w:pStyle w:val="ListBullet"/>
        <w:spacing w:after="40"/>
        <w:ind w:left="288"/>
      </w:pPr>
      <w:r>
        <w:rPr>
          <w:rFonts w:ascii="Arial" w:hAnsi="Arial"/>
          <w:color w:val="1A1A1A"/>
          <w:sz w:val="20"/>
        </w:rPr>
        <w:t>Launch bonus stack expires 48 hours after stream / page launch event.</w:t>
      </w:r>
    </w:p>
    <w:p>
      <w:pPr>
        <w:spacing w:before="0" w:after="100"/>
      </w:pPr>
    </w:p>
    <w:p>
      <w:pPr>
        <w:spacing w:before="240" w:after="60"/>
      </w:pPr>
      <w:r>
        <w:rPr>
          <w:rFonts w:ascii="Arial" w:hAnsi="Arial"/>
          <w:b/>
          <w:color w:val="006EC9"/>
          <w:sz w:val="24"/>
        </w:rPr>
        <w:t>2.4  TSU Stream OS — What Subscribers Get Monthly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FEBEB"/>
            <w:tcBorders>
              <w:top w:val="single" w:sz="6" w:color="DC3545"/>
              <w:left w:val="single" w:sz="6" w:color="DC3545"/>
              <w:bottom w:val="single" w:sz="6" w:color="DC3545"/>
              <w:right w:val="single" w:sz="6" w:color="DC3545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C0392B"/>
                <w:sz w:val="20"/>
              </w:rPr>
              <w:t xml:space="preserve">DEFINE THIS BEFORE LAUNCH:  </w:t>
            </w:r>
            <w:r>
              <w:rPr>
                <w:rFonts w:ascii="Arial" w:hAnsi="Arial"/>
                <w:color w:val="1A1A1A"/>
                <w:sz w:val="20"/>
              </w:rPr>
              <w:t>This must be scoped clearly before selling the subscription. Vague promises erode trust at month 3.</w:t>
            </w:r>
          </w:p>
        </w:tc>
      </w:tr>
    </w:tbl>
    <w:p>
      <w:pPr>
        <w:spacing w:after="80"/>
      </w:pPr>
    </w:p>
    <w:p>
      <w:pPr>
        <w:pStyle w:val="ListBullet"/>
        <w:spacing w:after="40"/>
        <w:ind w:left="288"/>
      </w:pPr>
      <w:r>
        <w:rPr>
          <w:rFonts w:ascii="Arial" w:hAnsi="Arial"/>
          <w:color w:val="1A1A1A"/>
          <w:sz w:val="20"/>
        </w:rPr>
        <w:t>Hosted overlay stays live, updated, and maintained on platform infrastructure</w:t>
      </w:r>
    </w:p>
    <w:p>
      <w:pPr>
        <w:pStyle w:val="ListBullet"/>
        <w:spacing w:after="40"/>
        <w:ind w:left="288"/>
      </w:pPr>
      <w:r>
        <w:rPr>
          <w:rFonts w:ascii="Arial" w:hAnsi="Arial"/>
          <w:color w:val="1A1A1A"/>
          <w:sz w:val="20"/>
        </w:rPr>
        <w:t>SSE bridge infrastructure kept running 24/7 (centralized, always-on)</w:t>
      </w:r>
    </w:p>
    <w:p>
      <w:pPr>
        <w:pStyle w:val="ListBullet"/>
        <w:spacing w:after="40"/>
        <w:ind w:left="288"/>
      </w:pPr>
      <w:r>
        <w:rPr>
          <w:rFonts w:ascii="Arial" w:hAnsi="Arial"/>
          <w:color w:val="1A1A1A"/>
          <w:sz w:val="20"/>
        </w:rPr>
        <w:t>One new widget or feature drop per month (Break Roulette, Countdown Timer, Buyer Spotlight, etc.)</w:t>
      </w:r>
    </w:p>
    <w:p>
      <w:pPr>
        <w:pStyle w:val="ListBullet"/>
        <w:spacing w:after="40"/>
        <w:ind w:left="288"/>
      </w:pPr>
      <w:r>
        <w:rPr>
          <w:rFonts w:ascii="Arial" w:hAnsi="Arial"/>
          <w:color w:val="1A1A1A"/>
          <w:sz w:val="20"/>
        </w:rPr>
        <w:t>Priority support response (same-day during support hours)</w:t>
      </w:r>
    </w:p>
    <w:p>
      <w:pPr>
        <w:pStyle w:val="ListBullet"/>
        <w:spacing w:after="40"/>
        <w:ind w:left="288"/>
      </w:pPr>
      <w:r>
        <w:rPr>
          <w:rFonts w:ascii="Arial" w:hAnsi="Arial"/>
          <w:color w:val="1A1A1A"/>
          <w:sz w:val="20"/>
        </w:rPr>
        <w:t>Early access to new features before public release</w:t>
      </w:r>
    </w:p>
    <w:p>
      <w:pPr>
        <w:pStyle w:val="ListBullet"/>
        <w:spacing w:after="40"/>
        <w:ind w:left="288"/>
      </w:pPr>
      <w:r>
        <w:rPr>
          <w:rFonts w:ascii="Arial" w:hAnsi="Arial"/>
          <w:color w:val="1A1A1A"/>
          <w:sz w:val="20"/>
        </w:rPr>
        <w:t>Future: analytics dashboard, AI insights — included as platform matures</w:t>
      </w:r>
    </w:p>
    <w:p>
      <w:r>
        <w:br w:type="page"/>
      </w:r>
    </w:p>
    <w:p>
      <w:pPr>
        <w:spacing w:before="320" w:after="80"/>
        <w:pBdr>
          <w:bottom w:val="single" w:sz="8" w:space="4" w:color="006EC9"/>
        </w:pBdr>
      </w:pPr>
      <w:r>
        <w:rPr>
          <w:rFonts w:ascii="Arial" w:hAnsi="Arial"/>
          <w:b/>
          <w:color w:val="1C2B3A"/>
          <w:sz w:val="30"/>
        </w:rPr>
        <w:t>3.  Master Rollout Timeline</w:t>
      </w:r>
    </w:p>
    <w:p>
      <w:pPr>
        <w:spacing w:before="0" w:after="120"/>
      </w:pPr>
      <w:r>
        <w:rPr>
          <w:rFonts w:ascii="Arial" w:hAnsi="Arial"/>
          <w:b w:val="0"/>
          <w:i w:val="0"/>
          <w:sz w:val="20"/>
        </w:rPr>
        <w:t>Six parallel phases. Phases 0, 1, and 5 run concurrently in the first 4 weeks. Phases 2–4 follow sequentially.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152"/>
            <w:shd w:val="clear" w:color="auto" w:fill="1C2B3A"/>
            <w:tcBorders>
              <w:top w:val="single" w:sz="4" w:color="1C2B3A"/>
              <w:left w:val="single" w:sz="4" w:color="1C2B3A"/>
              <w:bottom w:val="single" w:sz="4" w:color="1C2B3A"/>
              <w:right w:val="single" w:sz="4" w:color="1C2B3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Phase</w:t>
            </w:r>
          </w:p>
        </w:tc>
        <w:tc>
          <w:tcPr>
            <w:tcW w:type="dxa" w:w="2160"/>
            <w:shd w:val="clear" w:color="auto" w:fill="1C2B3A"/>
            <w:tcBorders>
              <w:top w:val="single" w:sz="4" w:color="1C2B3A"/>
              <w:left w:val="single" w:sz="4" w:color="1C2B3A"/>
              <w:bottom w:val="single" w:sz="4" w:color="1C2B3A"/>
              <w:right w:val="single" w:sz="4" w:color="1C2B3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Timeline</w:t>
            </w:r>
          </w:p>
        </w:tc>
        <w:tc>
          <w:tcPr>
            <w:tcW w:type="dxa" w:w="3168"/>
            <w:shd w:val="clear" w:color="auto" w:fill="1C2B3A"/>
            <w:tcBorders>
              <w:top w:val="single" w:sz="4" w:color="1C2B3A"/>
              <w:left w:val="single" w:sz="4" w:color="1C2B3A"/>
              <w:bottom w:val="single" w:sz="4" w:color="1C2B3A"/>
              <w:right w:val="single" w:sz="4" w:color="1C2B3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Deliverable</w:t>
            </w:r>
          </w:p>
        </w:tc>
        <w:tc>
          <w:tcPr>
            <w:tcW w:type="dxa" w:w="2160"/>
            <w:shd w:val="clear" w:color="auto" w:fill="1C2B3A"/>
            <w:tcBorders>
              <w:top w:val="single" w:sz="4" w:color="1C2B3A"/>
              <w:left w:val="single" w:sz="4" w:color="1C2B3A"/>
              <w:bottom w:val="single" w:sz="4" w:color="1C2B3A"/>
              <w:right w:val="single" w:sz="4" w:color="1C2B3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Success Metric</w:t>
            </w:r>
          </w:p>
        </w:tc>
        <w:tc>
          <w:tcPr>
            <w:tcW w:type="dxa" w:w="720"/>
            <w:shd w:val="clear" w:color="auto" w:fill="1C2B3A"/>
            <w:tcBorders>
              <w:top w:val="single" w:sz="4" w:color="1C2B3A"/>
              <w:left w:val="single" w:sz="4" w:color="1C2B3A"/>
              <w:bottom w:val="single" w:sz="4" w:color="1C2B3A"/>
              <w:right w:val="single" w:sz="4" w:color="1C2B3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MRR Impact</w:t>
            </w:r>
          </w:p>
        </w:tc>
      </w:tr>
      <w:tr>
        <w:tc>
          <w:tcPr>
            <w:tcW w:type="dxa" w:w="1152"/>
            <w:shd w:val="clear" w:color="auto" w:fill="FFF8E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Phase 0</w:t>
            </w:r>
          </w:p>
        </w:tc>
        <w:tc>
          <w:tcPr>
            <w:tcW w:type="dxa" w:w="2160"/>
            <w:shd w:val="clear" w:color="auto" w:fill="FFF8E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Week 1–2</w:t>
            </w:r>
          </w:p>
        </w:tc>
        <w:tc>
          <w:tcPr>
            <w:tcW w:type="dxa" w:w="3168"/>
            <w:shd w:val="clear" w:color="auto" w:fill="FFF8E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Offer restructure, Stan Store updates, Stream OS listing live</w:t>
            </w:r>
          </w:p>
        </w:tc>
        <w:tc>
          <w:tcPr>
            <w:tcW w:type="dxa" w:w="2160"/>
            <w:shd w:val="clear" w:color="auto" w:fill="FFF8E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$500+ MRR from founding members</w:t>
            </w:r>
          </w:p>
        </w:tc>
        <w:tc>
          <w:tcPr>
            <w:tcW w:type="dxa" w:w="720"/>
            <w:shd w:val="clear" w:color="auto" w:fill="FFF8E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↑↑↑</w:t>
            </w:r>
          </w:p>
        </w:tc>
      </w:tr>
      <w:tr>
        <w:tc>
          <w:tcPr>
            <w:tcW w:type="dxa" w:w="1152"/>
            <w:shd w:val="clear" w:color="auto" w:fill="E8F4FD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Phase 1</w:t>
            </w:r>
          </w:p>
        </w:tc>
        <w:tc>
          <w:tcPr>
            <w:tcW w:type="dxa" w:w="2160"/>
            <w:shd w:val="clear" w:color="auto" w:fill="E8F4FD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Week 1–3</w:t>
            </w:r>
          </w:p>
        </w:tc>
        <w:tc>
          <w:tcPr>
            <w:tcW w:type="dxa" w:w="3168"/>
            <w:shd w:val="clear" w:color="auto" w:fill="E8F4FD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Multi-tenant bridge deployed, all new clients on centralized infra, existing clients migrated</w:t>
            </w:r>
          </w:p>
        </w:tc>
        <w:tc>
          <w:tcPr>
            <w:tcW w:type="dxa" w:w="2160"/>
            <w:shd w:val="clear" w:color="auto" w:fill="E8F4FD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Zero individual Render services remain</w:t>
            </w:r>
          </w:p>
        </w:tc>
        <w:tc>
          <w:tcPr>
            <w:tcW w:type="dxa" w:w="720"/>
            <w:shd w:val="clear" w:color="auto" w:fill="E8F4FD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↑ Cost</w:t>
            </w:r>
          </w:p>
        </w:tc>
      </w:tr>
      <w:tr>
        <w:tc>
          <w:tcPr>
            <w:tcW w:type="dxa" w:w="1152"/>
            <w:shd w:val="clear" w:color="auto" w:fill="F0F0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Phase 5</w:t>
            </w:r>
          </w:p>
        </w:tc>
        <w:tc>
          <w:tcPr>
            <w:tcW w:type="dxa" w:w="2160"/>
            <w:shd w:val="clear" w:color="auto" w:fill="F0F0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Week 2–4</w:t>
            </w:r>
          </w:p>
        </w:tc>
        <w:tc>
          <w:tcPr>
            <w:tcW w:type="dxa" w:w="3168"/>
            <w:shd w:val="clear" w:color="auto" w:fill="F0F0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Rebuilt landing page, founding member outreach, 90-min launch stream</w:t>
            </w:r>
          </w:p>
        </w:tc>
        <w:tc>
          <w:tcPr>
            <w:tcW w:type="dxa" w:w="2160"/>
            <w:shd w:val="clear" w:color="auto" w:fill="F0F0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5+ Stream OS signups from stream</w:t>
            </w:r>
          </w:p>
        </w:tc>
        <w:tc>
          <w:tcPr>
            <w:tcW w:type="dxa" w:w="720"/>
            <w:shd w:val="clear" w:color="auto" w:fill="F0F0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↑↑</w:t>
            </w:r>
          </w:p>
        </w:tc>
      </w:tr>
      <w:tr>
        <w:tc>
          <w:tcPr>
            <w:tcW w:type="dxa" w:w="1152"/>
            <w:shd w:val="clear" w:color="auto" w:fill="E8F5E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Phase 2</w:t>
            </w:r>
          </w:p>
        </w:tc>
        <w:tc>
          <w:tcPr>
            <w:tcW w:type="dxa" w:w="2160"/>
            <w:shd w:val="clear" w:color="auto" w:fill="E8F5E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Month 1–2</w:t>
            </w:r>
          </w:p>
        </w:tc>
        <w:tc>
          <w:tcPr>
            <w:tcW w:type="dxa" w:w="3168"/>
            <w:shd w:val="clear" w:color="auto" w:fill="E8F5E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Auto-onboarding, intake automation, widget feature flag system, Widget #1 shipped</w:t>
            </w:r>
          </w:p>
        </w:tc>
        <w:tc>
          <w:tcPr>
            <w:tcW w:type="dxa" w:w="2160"/>
            <w:shd w:val="clear" w:color="auto" w:fill="E8F5E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&lt; 15 min manual work per new client</w:t>
            </w:r>
          </w:p>
        </w:tc>
        <w:tc>
          <w:tcPr>
            <w:tcW w:type="dxa" w:w="720"/>
            <w:shd w:val="clear" w:color="auto" w:fill="E8F5E9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↑</w:t>
            </w:r>
          </w:p>
        </w:tc>
      </w:tr>
      <w:tr>
        <w:tc>
          <w:tcPr>
            <w:tcW w:type="dxa" w:w="1152"/>
            <w:shd w:val="clear" w:color="auto" w:fill="FFF0E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Phase 3</w:t>
            </w:r>
          </w:p>
        </w:tc>
        <w:tc>
          <w:tcPr>
            <w:tcW w:type="dxa" w:w="2160"/>
            <w:shd w:val="clear" w:color="auto" w:fill="FFF0E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Month 2–3</w:t>
            </w:r>
          </w:p>
        </w:tc>
        <w:tc>
          <w:tcPr>
            <w:tcW w:type="dxa" w:w="3168"/>
            <w:shd w:val="clear" w:color="auto" w:fill="FFF0E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Client analytics dashboard (Stream OS Pro unlock at $197/mo)</w:t>
            </w:r>
          </w:p>
        </w:tc>
        <w:tc>
          <w:tcPr>
            <w:tcW w:type="dxa" w:w="2160"/>
            <w:shd w:val="clear" w:color="auto" w:fill="FFF0E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10+ Pro upgrades from existing base</w:t>
            </w:r>
          </w:p>
        </w:tc>
        <w:tc>
          <w:tcPr>
            <w:tcW w:type="dxa" w:w="720"/>
            <w:shd w:val="clear" w:color="auto" w:fill="FFF0E8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↑↑</w:t>
            </w:r>
          </w:p>
        </w:tc>
      </w:tr>
      <w:tr>
        <w:tc>
          <w:tcPr>
            <w:tcW w:type="dxa" w:w="1152"/>
            <w:shd w:val="clear" w:color="auto" w:fill="FDE8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Phase 4</w:t>
            </w:r>
          </w:p>
        </w:tc>
        <w:tc>
          <w:tcPr>
            <w:tcW w:type="dxa" w:w="2160"/>
            <w:shd w:val="clear" w:color="auto" w:fill="FDE8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Month 4+</w:t>
            </w:r>
          </w:p>
        </w:tc>
        <w:tc>
          <w:tcPr>
            <w:tcW w:type="dxa" w:w="3168"/>
            <w:shd w:val="clear" w:color="auto" w:fill="FDE8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AI insights engine, pricing recommendations, buyer patterns, Inner Circle launch</w:t>
            </w:r>
          </w:p>
        </w:tc>
        <w:tc>
          <w:tcPr>
            <w:tcW w:type="dxa" w:w="2160"/>
            <w:shd w:val="clear" w:color="auto" w:fill="FDE8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5 Inner Circle seats = $3,750 MRR</w:t>
            </w:r>
          </w:p>
        </w:tc>
        <w:tc>
          <w:tcPr>
            <w:tcW w:type="dxa" w:w="720"/>
            <w:shd w:val="clear" w:color="auto" w:fill="FDE8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↑↑↑</w:t>
            </w:r>
          </w:p>
        </w:tc>
      </w:tr>
    </w:tbl>
    <w:p>
      <w:pPr>
        <w:spacing w:after="160"/>
      </w:pPr>
    </w:p>
    <w:p>
      <w:pPr>
        <w:spacing w:before="240" w:after="60"/>
      </w:pPr>
      <w:r>
        <w:rPr>
          <w:rFonts w:ascii="Arial" w:hAnsi="Arial"/>
          <w:b/>
          <w:color w:val="006EC9"/>
          <w:sz w:val="24"/>
        </w:rPr>
        <w:t>3.1  MRR Projection Model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5040"/>
            <w:shd w:val="clear" w:color="auto" w:fill="1C2B3A"/>
            <w:tcBorders>
              <w:top w:val="single" w:sz="4" w:color="1C2B3A"/>
              <w:left w:val="single" w:sz="4" w:color="1C2B3A"/>
              <w:bottom w:val="single" w:sz="4" w:color="1C2B3A"/>
              <w:right w:val="single" w:sz="4" w:color="1C2B3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Task</w:t>
            </w:r>
          </w:p>
        </w:tc>
        <w:tc>
          <w:tcPr>
            <w:tcW w:type="dxa" w:w="1440"/>
            <w:shd w:val="clear" w:color="auto" w:fill="1C2B3A"/>
            <w:tcBorders>
              <w:top w:val="single" w:sz="4" w:color="1C2B3A"/>
              <w:left w:val="single" w:sz="4" w:color="1C2B3A"/>
              <w:bottom w:val="single" w:sz="4" w:color="1C2B3A"/>
              <w:right w:val="single" w:sz="4" w:color="1C2B3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440"/>
            <w:shd w:val="clear" w:color="auto" w:fill="1C2B3A"/>
            <w:tcBorders>
              <w:top w:val="single" w:sz="4" w:color="1C2B3A"/>
              <w:left w:val="single" w:sz="4" w:color="1C2B3A"/>
              <w:bottom w:val="single" w:sz="4" w:color="1C2B3A"/>
              <w:right w:val="single" w:sz="4" w:color="1C2B3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Priority</w:t>
            </w:r>
          </w:p>
        </w:tc>
        <w:tc>
          <w:tcPr>
            <w:tcW w:type="dxa" w:w="1440"/>
            <w:shd w:val="clear" w:color="auto" w:fill="1C2B3A"/>
            <w:tcBorders>
              <w:top w:val="single" w:sz="4" w:color="1C2B3A"/>
              <w:left w:val="single" w:sz="4" w:color="1C2B3A"/>
              <w:bottom w:val="single" w:sz="4" w:color="1C2B3A"/>
              <w:right w:val="single" w:sz="4" w:color="1C2B3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Target</w:t>
            </w:r>
          </w:p>
        </w:tc>
      </w:tr>
      <w:tr>
        <w:tc>
          <w:tcPr>
            <w:tcW w:type="dxa" w:w="50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Founding member outreach (30% of 60+ existing clients @ $97/mo)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Target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~18 clients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$1,746/mo</w:t>
            </w:r>
          </w:p>
        </w:tc>
      </w:tr>
      <w:tr>
        <w:tc>
          <w:tcPr>
            <w:tcW w:type="dxa" w:w="50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New Stream OS signups from launch stream (conservative)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Target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5 clients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$485/mo</w:t>
            </w:r>
          </w:p>
        </w:tc>
      </w:tr>
      <w:tr>
        <w:tc>
          <w:tcPr>
            <w:tcW w:type="dxa" w:w="50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New sales requiring Stream OS (ongoing, 4/week avg)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Month 1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~16/mo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$1,552/mo</w:t>
            </w:r>
          </w:p>
        </w:tc>
      </w:tr>
      <w:tr>
        <w:tc>
          <w:tcPr>
            <w:tcW w:type="dxa" w:w="50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Stream OS Pro upgrades from existing base (Month 3)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Month 3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10 clients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$1,970/mo</w:t>
            </w:r>
          </w:p>
        </w:tc>
      </w:tr>
      <w:tr>
        <w:tc>
          <w:tcPr>
            <w:tcW w:type="dxa" w:w="50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Inner Circle launch (Month 4, 5 seats @ $750 avg)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Month 4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5 seats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$3,750/mo</w:t>
            </w:r>
          </w:p>
        </w:tc>
      </w:tr>
      <w:tr>
        <w:tc>
          <w:tcPr>
            <w:tcW w:type="dxa" w:w="50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Cumulative MRR at Month 4 (conservative)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Projection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—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~$9,500/mo</w:t>
            </w:r>
          </w:p>
        </w:tc>
      </w:tr>
    </w:tbl>
    <w:p>
      <w:pPr>
        <w:spacing w:after="120"/>
      </w:pPr>
    </w:p>
    <w:p>
      <w:pPr>
        <w:spacing w:before="0" w:after="160"/>
      </w:pPr>
      <w:r>
        <w:rPr>
          <w:rFonts w:ascii="Arial" w:hAnsi="Arial"/>
          <w:b w:val="0"/>
          <w:i/>
          <w:color w:val="666666"/>
          <w:sz w:val="20"/>
        </w:rPr>
        <w:t>Note: These projections assume no growth in new client acquisition — purely from existing base + current conversion rate. Any improvement in landing page conversion accelerates all numbers.</w:t>
      </w:r>
    </w:p>
    <w:p>
      <w:pPr>
        <w:spacing w:before="320" w:after="80"/>
        <w:pBdr>
          <w:bottom w:val="single" w:sz="8" w:space="4" w:color="006EC9"/>
        </w:pBdr>
      </w:pPr>
      <w:r>
        <w:rPr>
          <w:rFonts w:ascii="Arial" w:hAnsi="Arial"/>
          <w:b/>
          <w:color w:val="1C2B3A"/>
          <w:sz w:val="30"/>
        </w:rPr>
        <w:t>4.  Phase Detail Plans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59E0B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FFFFFF"/>
                <w:sz w:val="22"/>
              </w:rPr>
              <w:t xml:space="preserve">PHASE 0  </w:t>
            </w:r>
            <w:r>
              <w:rPr>
                <w:rFonts w:ascii="Arial" w:hAnsi="Arial"/>
                <w:b/>
                <w:color w:val="FFFFFF"/>
                <w:sz w:val="28"/>
              </w:rPr>
              <w:t>Offer Restructure</w:t>
            </w:r>
          </w:p>
          <w:p>
            <w:r>
              <w:rPr>
                <w:rFonts w:ascii="Arial" w:hAnsi="Arial"/>
                <w:color w:val="CCE4FF"/>
                <w:sz w:val="18"/>
              </w:rPr>
              <w:t>Timeline: Week 1–2</w:t>
            </w:r>
          </w:p>
        </w:tc>
      </w:tr>
    </w:tbl>
    <w:p>
      <w:pPr>
        <w:spacing w:after="80"/>
      </w:pPr>
    </w:p>
    <w:p>
      <w:pPr>
        <w:spacing w:before="160" w:after="40"/>
      </w:pPr>
      <w:r>
        <w:rPr>
          <w:rFonts w:ascii="Arial" w:hAnsi="Arial"/>
          <w:b/>
          <w:color w:val="1A1A1A"/>
          <w:sz w:val="21"/>
        </w:rPr>
        <w:t>Objectives</w:t>
      </w:r>
    </w:p>
    <w:p>
      <w:pPr>
        <w:pStyle w:val="ListBullet"/>
        <w:spacing w:after="40"/>
        <w:ind w:left="288"/>
      </w:pPr>
      <w:r>
        <w:rPr>
          <w:rFonts w:ascii="Arial" w:hAnsi="Arial"/>
          <w:color w:val="1A1A1A"/>
          <w:sz w:val="20"/>
        </w:rPr>
        <w:t>Launch TSU Stream OS subscription on Stan Store at $97/mo (founding member rate)</w:t>
      </w:r>
    </w:p>
    <w:p>
      <w:pPr>
        <w:pStyle w:val="ListBullet"/>
        <w:spacing w:after="40"/>
        <w:ind w:left="288"/>
      </w:pPr>
      <w:r>
        <w:rPr>
          <w:rFonts w:ascii="Arial" w:hAnsi="Arial"/>
          <w:color w:val="1A1A1A"/>
          <w:sz w:val="20"/>
        </w:rPr>
        <w:t>Add guarantee to existing landing page immediately — zero cost, instant conversion lift</w:t>
      </w:r>
    </w:p>
    <w:p>
      <w:pPr>
        <w:pStyle w:val="ListBullet"/>
        <w:spacing w:after="40"/>
        <w:ind w:left="288"/>
      </w:pPr>
      <w:r>
        <w:rPr>
          <w:rFonts w:ascii="Arial" w:hAnsi="Arial"/>
          <w:color w:val="1A1A1A"/>
          <w:sz w:val="20"/>
        </w:rPr>
        <w:t>Convert existing Tier 2/3 clients to founding members before public launch</w:t>
      </w:r>
    </w:p>
    <w:p>
      <w:pPr>
        <w:pStyle w:val="ListBullet"/>
        <w:spacing w:after="40"/>
        <w:ind w:left="288"/>
      </w:pPr>
      <w:r>
        <w:rPr>
          <w:rFonts w:ascii="Arial" w:hAnsi="Arial"/>
          <w:color w:val="1A1A1A"/>
          <w:sz w:val="20"/>
        </w:rPr>
        <w:t>Define monthly subscriber deliverables before making any public promises</w:t>
      </w:r>
    </w:p>
    <w:p>
      <w:pPr>
        <w:spacing w:before="160" w:after="40"/>
      </w:pPr>
      <w:r>
        <w:rPr>
          <w:rFonts w:ascii="Arial" w:hAnsi="Arial"/>
          <w:b/>
          <w:color w:val="1A1A1A"/>
          <w:sz w:val="21"/>
        </w:rPr>
        <w:t>Critical Tasks — Week 1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5040"/>
            <w:shd w:val="clear" w:color="auto" w:fill="1C2B3A"/>
            <w:tcBorders>
              <w:top w:val="single" w:sz="4" w:color="1C2B3A"/>
              <w:left w:val="single" w:sz="4" w:color="1C2B3A"/>
              <w:bottom w:val="single" w:sz="4" w:color="1C2B3A"/>
              <w:right w:val="single" w:sz="4" w:color="1C2B3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Task</w:t>
            </w:r>
          </w:p>
        </w:tc>
        <w:tc>
          <w:tcPr>
            <w:tcW w:type="dxa" w:w="1440"/>
            <w:shd w:val="clear" w:color="auto" w:fill="1C2B3A"/>
            <w:tcBorders>
              <w:top w:val="single" w:sz="4" w:color="1C2B3A"/>
              <w:left w:val="single" w:sz="4" w:color="1C2B3A"/>
              <w:bottom w:val="single" w:sz="4" w:color="1C2B3A"/>
              <w:right w:val="single" w:sz="4" w:color="1C2B3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440"/>
            <w:shd w:val="clear" w:color="auto" w:fill="1C2B3A"/>
            <w:tcBorders>
              <w:top w:val="single" w:sz="4" w:color="1C2B3A"/>
              <w:left w:val="single" w:sz="4" w:color="1C2B3A"/>
              <w:bottom w:val="single" w:sz="4" w:color="1C2B3A"/>
              <w:right w:val="single" w:sz="4" w:color="1C2B3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Priority</w:t>
            </w:r>
          </w:p>
        </w:tc>
        <w:tc>
          <w:tcPr>
            <w:tcW w:type="dxa" w:w="1440"/>
            <w:shd w:val="clear" w:color="auto" w:fill="1C2B3A"/>
            <w:tcBorders>
              <w:top w:val="single" w:sz="4" w:color="1C2B3A"/>
              <w:left w:val="single" w:sz="4" w:color="1C2B3A"/>
              <w:bottom w:val="single" w:sz="4" w:color="1C2B3A"/>
              <w:right w:val="single" w:sz="4" w:color="1C2B3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Target</w:t>
            </w:r>
          </w:p>
        </w:tc>
      </w:tr>
      <w:tr>
        <w:tc>
          <w:tcPr>
            <w:tcW w:type="dxa" w:w="50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Define TSU Stream OS monthly deliverables &amp; widget roadmap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Not Started</w:t>
            </w:r>
          </w:p>
        </w:tc>
        <w:tc>
          <w:tcPr>
            <w:tcW w:type="dxa" w:w="1440"/>
            <w:shd w:val="clear" w:color="auto" w:fill="FFEBEB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P0 - Critical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Day 1</w:t>
            </w:r>
          </w:p>
        </w:tc>
      </w:tr>
      <w:tr>
        <w:tc>
          <w:tcPr>
            <w:tcW w:type="dxa" w:w="50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Create Stream OS subscription on Stan Store ($97/mo)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Not Started</w:t>
            </w:r>
          </w:p>
        </w:tc>
        <w:tc>
          <w:tcPr>
            <w:tcW w:type="dxa" w:w="1440"/>
            <w:shd w:val="clear" w:color="auto" w:fill="FFEBEB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P0 - Critical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Day 2</w:t>
            </w:r>
          </w:p>
        </w:tc>
      </w:tr>
      <w:tr>
        <w:tc>
          <w:tcPr>
            <w:tcW w:type="dxa" w:w="50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Add guarantee block to existing landing page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Not Started</w:t>
            </w:r>
          </w:p>
        </w:tc>
        <w:tc>
          <w:tcPr>
            <w:tcW w:type="dxa" w:w="1440"/>
            <w:shd w:val="clear" w:color="auto" w:fill="FFEBEB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P0 - Critical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Day 2</w:t>
            </w:r>
          </w:p>
        </w:tc>
      </w:tr>
      <w:tr>
        <w:tc>
          <w:tcPr>
            <w:tcW w:type="dxa" w:w="50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Write guarantee copy + bonus stack descriptions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Not Started</w:t>
            </w:r>
          </w:p>
        </w:tc>
        <w:tc>
          <w:tcPr>
            <w:tcW w:type="dxa" w:w="1440"/>
            <w:shd w:val="clear" w:color="auto" w:fill="FFF8E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P1 - High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Day 3</w:t>
            </w:r>
          </w:p>
        </w:tc>
      </w:tr>
      <w:tr>
        <w:tc>
          <w:tcPr>
            <w:tcW w:type="dxa" w:w="50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Finalize all 4 tier names, features, and positioning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Not Started</w:t>
            </w:r>
          </w:p>
        </w:tc>
        <w:tc>
          <w:tcPr>
            <w:tcW w:type="dxa" w:w="1440"/>
            <w:shd w:val="clear" w:color="auto" w:fill="FFEBEB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P0 - Critical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Day 3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rFonts w:ascii="Arial" w:hAnsi="Arial"/>
          <w:b/>
          <w:color w:val="1A1A1A"/>
          <w:sz w:val="21"/>
        </w:rPr>
        <w:t>Critical Tasks — Week 2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5040"/>
            <w:shd w:val="clear" w:color="auto" w:fill="1C2B3A"/>
            <w:tcBorders>
              <w:top w:val="single" w:sz="4" w:color="1C2B3A"/>
              <w:left w:val="single" w:sz="4" w:color="1C2B3A"/>
              <w:bottom w:val="single" w:sz="4" w:color="1C2B3A"/>
              <w:right w:val="single" w:sz="4" w:color="1C2B3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Task</w:t>
            </w:r>
          </w:p>
        </w:tc>
        <w:tc>
          <w:tcPr>
            <w:tcW w:type="dxa" w:w="1440"/>
            <w:shd w:val="clear" w:color="auto" w:fill="1C2B3A"/>
            <w:tcBorders>
              <w:top w:val="single" w:sz="4" w:color="1C2B3A"/>
              <w:left w:val="single" w:sz="4" w:color="1C2B3A"/>
              <w:bottom w:val="single" w:sz="4" w:color="1C2B3A"/>
              <w:right w:val="single" w:sz="4" w:color="1C2B3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440"/>
            <w:shd w:val="clear" w:color="auto" w:fill="1C2B3A"/>
            <w:tcBorders>
              <w:top w:val="single" w:sz="4" w:color="1C2B3A"/>
              <w:left w:val="single" w:sz="4" w:color="1C2B3A"/>
              <w:bottom w:val="single" w:sz="4" w:color="1C2B3A"/>
              <w:right w:val="single" w:sz="4" w:color="1C2B3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Priority</w:t>
            </w:r>
          </w:p>
        </w:tc>
        <w:tc>
          <w:tcPr>
            <w:tcW w:type="dxa" w:w="1440"/>
            <w:shd w:val="clear" w:color="auto" w:fill="1C2B3A"/>
            <w:tcBorders>
              <w:top w:val="single" w:sz="4" w:color="1C2B3A"/>
              <w:left w:val="single" w:sz="4" w:color="1C2B3A"/>
              <w:bottom w:val="single" w:sz="4" w:color="1C2B3A"/>
              <w:right w:val="single" w:sz="4" w:color="1C2B3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Target</w:t>
            </w:r>
          </w:p>
        </w:tc>
      </w:tr>
      <w:tr>
        <w:tc>
          <w:tcPr>
            <w:tcW w:type="dxa" w:w="50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Email founding member offer to all existing clients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Not Started</w:t>
            </w:r>
          </w:p>
        </w:tc>
        <w:tc>
          <w:tcPr>
            <w:tcW w:type="dxa" w:w="1440"/>
            <w:shd w:val="clear" w:color="auto" w:fill="FFF8E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P1 - High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Day 8</w:t>
            </w:r>
          </w:p>
        </w:tc>
      </w:tr>
      <w:tr>
        <w:tc>
          <w:tcPr>
            <w:tcW w:type="dxa" w:w="50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Update Stan Store listings with bonus stack + new framing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Not Started</w:t>
            </w:r>
          </w:p>
        </w:tc>
        <w:tc>
          <w:tcPr>
            <w:tcW w:type="dxa" w:w="1440"/>
            <w:shd w:val="clear" w:color="auto" w:fill="FFF8E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P1 - High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Day 9</w:t>
            </w:r>
          </w:p>
        </w:tc>
      </w:tr>
      <w:tr>
        <w:tc>
          <w:tcPr>
            <w:tcW w:type="dxa" w:w="50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Add scarcity messaging (5 custom spots/week) to CTAs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Not Started</w:t>
            </w:r>
          </w:p>
        </w:tc>
        <w:tc>
          <w:tcPr>
            <w:tcW w:type="dxa" w:w="1440"/>
            <w:shd w:val="clear" w:color="auto" w:fill="F0F8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P2 - Medium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Day 10</w:t>
            </w:r>
          </w:p>
        </w:tc>
      </w:tr>
    </w:tbl>
    <w:p>
      <w:pPr>
        <w:spacing w:after="120"/>
      </w:pPr>
    </w:p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1D6FA8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FFFFFF"/>
                <w:sz w:val="22"/>
              </w:rPr>
              <w:t xml:space="preserve">PHASE 1  </w:t>
            </w:r>
            <w:r>
              <w:rPr>
                <w:rFonts w:ascii="Arial" w:hAnsi="Arial"/>
                <w:b/>
                <w:color w:val="FFFFFF"/>
                <w:sz w:val="28"/>
              </w:rPr>
              <w:t>Bridge Migration</w:t>
            </w:r>
          </w:p>
          <w:p>
            <w:r>
              <w:rPr>
                <w:rFonts w:ascii="Arial" w:hAnsi="Arial"/>
                <w:color w:val="CCE4FF"/>
                <w:sz w:val="18"/>
              </w:rPr>
              <w:t>Timeline: Week 1–3</w:t>
            </w:r>
          </w:p>
        </w:tc>
      </w:tr>
    </w:tbl>
    <w:p>
      <w:pPr>
        <w:spacing w:after="80"/>
      </w:pPr>
    </w:p>
    <w:p>
      <w:pPr>
        <w:spacing w:before="160" w:after="40"/>
      </w:pPr>
      <w:r>
        <w:rPr>
          <w:rFonts w:ascii="Arial" w:hAnsi="Arial"/>
          <w:b/>
          <w:color w:val="1A1A1A"/>
          <w:sz w:val="21"/>
        </w:rPr>
        <w:t>Architecture Summary</w:t>
      </w:r>
    </w:p>
    <w:p>
      <w:pPr>
        <w:spacing w:before="0" w:after="80"/>
      </w:pPr>
      <w:r>
        <w:rPr>
          <w:rFonts w:ascii="Arial" w:hAnsi="Arial"/>
          <w:b w:val="0"/>
          <w:i w:val="0"/>
          <w:sz w:val="20"/>
        </w:rPr>
        <w:t>Replace N individual Render free-tier services with one paid always-on multi-tenant Node.js bridge. Client isolation via bridge key authentication. Single domain: bridge.tradesecretsunlocked.com.</w:t>
      </w:r>
    </w:p>
    <w:p>
      <w:pPr>
        <w:spacing w:before="160" w:after="40"/>
      </w:pPr>
      <w:r>
        <w:rPr>
          <w:rFonts w:ascii="Arial" w:hAnsi="Arial"/>
          <w:b/>
          <w:color w:val="1A1A1A"/>
          <w:sz w:val="21"/>
        </w:rPr>
        <w:t>Tech Stack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5040"/>
            <w:shd w:val="clear" w:color="auto" w:fill="1C2B3A"/>
            <w:tcBorders>
              <w:top w:val="single" w:sz="4" w:color="1C2B3A"/>
              <w:left w:val="single" w:sz="4" w:color="1C2B3A"/>
              <w:bottom w:val="single" w:sz="4" w:color="1C2B3A"/>
              <w:right w:val="single" w:sz="4" w:color="1C2B3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Task</w:t>
            </w:r>
          </w:p>
        </w:tc>
        <w:tc>
          <w:tcPr>
            <w:tcW w:type="dxa" w:w="1440"/>
            <w:shd w:val="clear" w:color="auto" w:fill="1C2B3A"/>
            <w:tcBorders>
              <w:top w:val="single" w:sz="4" w:color="1C2B3A"/>
              <w:left w:val="single" w:sz="4" w:color="1C2B3A"/>
              <w:bottom w:val="single" w:sz="4" w:color="1C2B3A"/>
              <w:right w:val="single" w:sz="4" w:color="1C2B3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440"/>
            <w:shd w:val="clear" w:color="auto" w:fill="1C2B3A"/>
            <w:tcBorders>
              <w:top w:val="single" w:sz="4" w:color="1C2B3A"/>
              <w:left w:val="single" w:sz="4" w:color="1C2B3A"/>
              <w:bottom w:val="single" w:sz="4" w:color="1C2B3A"/>
              <w:right w:val="single" w:sz="4" w:color="1C2B3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Priority</w:t>
            </w:r>
          </w:p>
        </w:tc>
        <w:tc>
          <w:tcPr>
            <w:tcW w:type="dxa" w:w="1440"/>
            <w:shd w:val="clear" w:color="auto" w:fill="1C2B3A"/>
            <w:tcBorders>
              <w:top w:val="single" w:sz="4" w:color="1C2B3A"/>
              <w:left w:val="single" w:sz="4" w:color="1C2B3A"/>
              <w:bottom w:val="single" w:sz="4" w:color="1C2B3A"/>
              <w:right w:val="single" w:sz="4" w:color="1C2B3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Target</w:t>
            </w:r>
          </w:p>
        </w:tc>
      </w:tr>
      <w:tr>
        <w:tc>
          <w:tcPr>
            <w:tcW w:type="dxa" w:w="50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Runtime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Node.js + Express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—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—</w:t>
            </w:r>
          </w:p>
        </w:tc>
      </w:tr>
      <w:tr>
        <w:tc>
          <w:tcPr>
            <w:tcW w:type="dxa" w:w="50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Real-time routing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In-memory Map (client_id → SSE connections)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—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—</w:t>
            </w:r>
          </w:p>
        </w:tc>
      </w:tr>
      <w:tr>
        <w:tc>
          <w:tcPr>
            <w:tcW w:type="dxa" w:w="50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Database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Supabase (PostgreSQL + REST API)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—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—</w:t>
            </w:r>
          </w:p>
        </w:tc>
      </w:tr>
      <w:tr>
        <w:tc>
          <w:tcPr>
            <w:tcW w:type="dxa" w:w="50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Hosting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Render paid web service ($7/mo always-on)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—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—</w:t>
            </w:r>
          </w:p>
        </w:tc>
      </w:tr>
      <w:tr>
        <w:tc>
          <w:tcPr>
            <w:tcW w:type="dxa" w:w="50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Domain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bridge.tradesecretsunlocked.com (CNAME)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—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—</w:t>
            </w:r>
          </w:p>
        </w:tc>
      </w:tr>
      <w:tr>
        <w:tc>
          <w:tcPr>
            <w:tcW w:type="dxa" w:w="50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Scale path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Add Redis pub/sub when &gt; 1 dyno needed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—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—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rFonts w:ascii="Arial" w:hAnsi="Arial"/>
          <w:b/>
          <w:color w:val="1A1A1A"/>
          <w:sz w:val="21"/>
        </w:rPr>
        <w:t>API Endpoints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5040"/>
            <w:shd w:val="clear" w:color="auto" w:fill="1C2B3A"/>
            <w:tcBorders>
              <w:top w:val="single" w:sz="4" w:color="1C2B3A"/>
              <w:left w:val="single" w:sz="4" w:color="1C2B3A"/>
              <w:bottom w:val="single" w:sz="4" w:color="1C2B3A"/>
              <w:right w:val="single" w:sz="4" w:color="1C2B3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Task</w:t>
            </w:r>
          </w:p>
        </w:tc>
        <w:tc>
          <w:tcPr>
            <w:tcW w:type="dxa" w:w="1440"/>
            <w:shd w:val="clear" w:color="auto" w:fill="1C2B3A"/>
            <w:tcBorders>
              <w:top w:val="single" w:sz="4" w:color="1C2B3A"/>
              <w:left w:val="single" w:sz="4" w:color="1C2B3A"/>
              <w:bottom w:val="single" w:sz="4" w:color="1C2B3A"/>
              <w:right w:val="single" w:sz="4" w:color="1C2B3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440"/>
            <w:shd w:val="clear" w:color="auto" w:fill="1C2B3A"/>
            <w:tcBorders>
              <w:top w:val="single" w:sz="4" w:color="1C2B3A"/>
              <w:left w:val="single" w:sz="4" w:color="1C2B3A"/>
              <w:bottom w:val="single" w:sz="4" w:color="1C2B3A"/>
              <w:right w:val="single" w:sz="4" w:color="1C2B3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Priority</w:t>
            </w:r>
          </w:p>
        </w:tc>
        <w:tc>
          <w:tcPr>
            <w:tcW w:type="dxa" w:w="1440"/>
            <w:shd w:val="clear" w:color="auto" w:fill="1C2B3A"/>
            <w:tcBorders>
              <w:top w:val="single" w:sz="4" w:color="1C2B3A"/>
              <w:left w:val="single" w:sz="4" w:color="1C2B3A"/>
              <w:bottom w:val="single" w:sz="4" w:color="1C2B3A"/>
              <w:right w:val="single" w:sz="4" w:color="1C2B3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Target</w:t>
            </w:r>
          </w:p>
        </w:tc>
      </w:tr>
      <w:tr>
        <w:tc>
          <w:tcPr>
            <w:tcW w:type="dxa" w:w="50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GET /events/subscribe?clientId=&amp;channel=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SSE connection endpoint for overlays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—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—</w:t>
            </w:r>
          </w:p>
        </w:tc>
      </w:tr>
      <w:tr>
        <w:tc>
          <w:tcPr>
            <w:tcW w:type="dxa" w:w="50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POST /events/publish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Sale event from Chrome extension (auth: bridge key)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—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—</w:t>
            </w:r>
          </w:p>
        </w:tc>
      </w:tr>
      <w:tr>
        <w:tc>
          <w:tcPr>
            <w:tcW w:type="dxa" w:w="50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GET /health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Uptime check endpoint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—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—</w:t>
            </w:r>
          </w:p>
        </w:tc>
      </w:tr>
      <w:tr>
        <w:tc>
          <w:tcPr>
            <w:tcW w:type="dxa" w:w="50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GET /config/:clientId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Widget feature flags for this client (Phase 2)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—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—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rFonts w:ascii="Arial" w:hAnsi="Arial"/>
          <w:b/>
          <w:color w:val="1A1A1A"/>
          <w:sz w:val="21"/>
        </w:rPr>
        <w:t>Migration Steps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5040"/>
            <w:shd w:val="clear" w:color="auto" w:fill="1C2B3A"/>
            <w:tcBorders>
              <w:top w:val="single" w:sz="4" w:color="1C2B3A"/>
              <w:left w:val="single" w:sz="4" w:color="1C2B3A"/>
              <w:bottom w:val="single" w:sz="4" w:color="1C2B3A"/>
              <w:right w:val="single" w:sz="4" w:color="1C2B3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Task</w:t>
            </w:r>
          </w:p>
        </w:tc>
        <w:tc>
          <w:tcPr>
            <w:tcW w:type="dxa" w:w="1440"/>
            <w:shd w:val="clear" w:color="auto" w:fill="1C2B3A"/>
            <w:tcBorders>
              <w:top w:val="single" w:sz="4" w:color="1C2B3A"/>
              <w:left w:val="single" w:sz="4" w:color="1C2B3A"/>
              <w:bottom w:val="single" w:sz="4" w:color="1C2B3A"/>
              <w:right w:val="single" w:sz="4" w:color="1C2B3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440"/>
            <w:shd w:val="clear" w:color="auto" w:fill="1C2B3A"/>
            <w:tcBorders>
              <w:top w:val="single" w:sz="4" w:color="1C2B3A"/>
              <w:left w:val="single" w:sz="4" w:color="1C2B3A"/>
              <w:bottom w:val="single" w:sz="4" w:color="1C2B3A"/>
              <w:right w:val="single" w:sz="4" w:color="1C2B3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Priority</w:t>
            </w:r>
          </w:p>
        </w:tc>
        <w:tc>
          <w:tcPr>
            <w:tcW w:type="dxa" w:w="1440"/>
            <w:shd w:val="clear" w:color="auto" w:fill="1C2B3A"/>
            <w:tcBorders>
              <w:top w:val="single" w:sz="4" w:color="1C2B3A"/>
              <w:left w:val="single" w:sz="4" w:color="1C2B3A"/>
              <w:bottom w:val="single" w:sz="4" w:color="1C2B3A"/>
              <w:right w:val="single" w:sz="4" w:color="1C2B3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Target</w:t>
            </w:r>
          </w:p>
        </w:tc>
      </w:tr>
      <w:tr>
        <w:tc>
          <w:tcPr>
            <w:tcW w:type="dxa" w:w="50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Build + test multi-tenant bridge locally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Not Started</w:t>
            </w:r>
          </w:p>
        </w:tc>
        <w:tc>
          <w:tcPr>
            <w:tcW w:type="dxa" w:w="1440"/>
            <w:shd w:val="clear" w:color="auto" w:fill="FFEBEB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P0 - Critical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Week 1</w:t>
            </w:r>
          </w:p>
        </w:tc>
      </w:tr>
      <w:tr>
        <w:tc>
          <w:tcPr>
            <w:tcW w:type="dxa" w:w="50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Set up Supabase schema + deploy to Render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Not Started</w:t>
            </w:r>
          </w:p>
        </w:tc>
        <w:tc>
          <w:tcPr>
            <w:tcW w:type="dxa" w:w="1440"/>
            <w:shd w:val="clear" w:color="auto" w:fill="FFEBEB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P0 - Critical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Week 2</w:t>
            </w:r>
          </w:p>
        </w:tc>
      </w:tr>
      <w:tr>
        <w:tc>
          <w:tcPr>
            <w:tcW w:type="dxa" w:w="50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Configure bridge.tradesecretsunlocked.com domain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Not Started</w:t>
            </w:r>
          </w:p>
        </w:tc>
        <w:tc>
          <w:tcPr>
            <w:tcW w:type="dxa" w:w="1440"/>
            <w:shd w:val="clear" w:color="auto" w:fill="FFF8E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P1 - High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Week 2</w:t>
            </w:r>
          </w:p>
        </w:tc>
      </w:tr>
      <w:tr>
        <w:tc>
          <w:tcPr>
            <w:tcW w:type="dxa" w:w="50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Multi-client isolation + reconnect testing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Not Started</w:t>
            </w:r>
          </w:p>
        </w:tc>
        <w:tc>
          <w:tcPr>
            <w:tcW w:type="dxa" w:w="1440"/>
            <w:shd w:val="clear" w:color="auto" w:fill="FFEBEB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P0 - Critical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Week 2</w:t>
            </w:r>
          </w:p>
        </w:tc>
      </w:tr>
      <w:tr>
        <w:tc>
          <w:tcPr>
            <w:tcW w:type="dxa" w:w="50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All new clients go to new bridge immediately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Not Started</w:t>
            </w:r>
          </w:p>
        </w:tc>
        <w:tc>
          <w:tcPr>
            <w:tcW w:type="dxa" w:w="1440"/>
            <w:shd w:val="clear" w:color="auto" w:fill="FFEBEB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P0 - Critical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Week 2 (on deploy)</w:t>
            </w:r>
          </w:p>
        </w:tc>
      </w:tr>
      <w:tr>
        <w:tc>
          <w:tcPr>
            <w:tcW w:type="dxa" w:w="50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Outreach to existing clients: update OBS ?bridge= URL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Not Started</w:t>
            </w:r>
          </w:p>
        </w:tc>
        <w:tc>
          <w:tcPr>
            <w:tcW w:type="dxa" w:w="1440"/>
            <w:shd w:val="clear" w:color="auto" w:fill="FFF8E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P1 - High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Week 3</w:t>
            </w:r>
          </w:p>
        </w:tc>
      </w:tr>
      <w:tr>
        <w:tc>
          <w:tcPr>
            <w:tcW w:type="dxa" w:w="50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Decommission individual Render services per client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Not Started</w:t>
            </w:r>
          </w:p>
        </w:tc>
        <w:tc>
          <w:tcPr>
            <w:tcW w:type="dxa" w:w="1440"/>
            <w:shd w:val="clear" w:color="auto" w:fill="F0F8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P2 - Medium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Week 3 (rolling)</w:t>
            </w:r>
          </w:p>
        </w:tc>
      </w:tr>
      <w:tr>
        <w:tc>
          <w:tcPr>
            <w:tcW w:type="dxa" w:w="50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Update TSU Overlay Agent skill with new URL format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Not Started</w:t>
            </w:r>
          </w:p>
        </w:tc>
        <w:tc>
          <w:tcPr>
            <w:tcW w:type="dxa" w:w="1440"/>
            <w:shd w:val="clear" w:color="auto" w:fill="FFF8E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P1 - High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Week 2</w:t>
            </w:r>
          </w:p>
        </w:tc>
      </w:tr>
    </w:tbl>
    <w:p>
      <w:pPr>
        <w:spacing w:after="120"/>
      </w:pPr>
    </w:p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7C3AED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FFFFFF"/>
                <w:sz w:val="22"/>
              </w:rPr>
              <w:t xml:space="preserve">PHASE 2  </w:t>
            </w:r>
            <w:r>
              <w:rPr>
                <w:rFonts w:ascii="Arial" w:hAnsi="Arial"/>
                <w:b/>
                <w:color w:val="FFFFFF"/>
                <w:sz w:val="28"/>
              </w:rPr>
              <w:t>Platform Infrastructure</w:t>
            </w:r>
          </w:p>
          <w:p>
            <w:r>
              <w:rPr>
                <w:rFonts w:ascii="Arial" w:hAnsi="Arial"/>
                <w:color w:val="CCE4FF"/>
                <w:sz w:val="18"/>
              </w:rPr>
              <w:t>Timeline: Month 1–2</w:t>
            </w:r>
          </w:p>
        </w:tc>
      </w:tr>
    </w:tbl>
    <w:p>
      <w:pPr>
        <w:spacing w:after="80"/>
      </w:pPr>
    </w:p>
    <w:p>
      <w:pPr>
        <w:spacing w:before="160" w:after="40"/>
      </w:pPr>
      <w:r>
        <w:rPr>
          <w:rFonts w:ascii="Arial" w:hAnsi="Arial"/>
          <w:b/>
          <w:color w:val="1A1A1A"/>
          <w:sz w:val="21"/>
        </w:rPr>
        <w:t>Objectives</w:t>
      </w:r>
    </w:p>
    <w:p>
      <w:pPr>
        <w:pStyle w:val="ListBullet"/>
        <w:spacing w:after="40"/>
        <w:ind w:left="288"/>
      </w:pPr>
      <w:r>
        <w:rPr>
          <w:rFonts w:ascii="Arial" w:hAnsi="Arial"/>
          <w:color w:val="1A1A1A"/>
          <w:sz w:val="20"/>
        </w:rPr>
        <w:t>Zero manual steps between purchase and first overlay URL in client hands</w:t>
      </w:r>
    </w:p>
    <w:p>
      <w:pPr>
        <w:pStyle w:val="ListBullet"/>
        <w:spacing w:after="40"/>
        <w:ind w:left="288"/>
      </w:pPr>
      <w:r>
        <w:rPr>
          <w:rFonts w:ascii="Arial" w:hAnsi="Arial"/>
          <w:color w:val="1A1A1A"/>
          <w:sz w:val="20"/>
        </w:rPr>
        <w:t>Widget feature flag system enabling remote feature toggle per client</w:t>
      </w:r>
    </w:p>
    <w:p>
      <w:pPr>
        <w:pStyle w:val="ListBullet"/>
        <w:spacing w:after="40"/>
        <w:ind w:left="288"/>
      </w:pPr>
      <w:r>
        <w:rPr>
          <w:rFonts w:ascii="Arial" w:hAnsi="Arial"/>
          <w:color w:val="1A1A1A"/>
          <w:sz w:val="20"/>
        </w:rPr>
        <w:t>Monthly widget drops that justify and reinforce the subscription</w:t>
      </w:r>
    </w:p>
    <w:p>
      <w:pPr>
        <w:spacing w:before="160" w:after="40"/>
      </w:pPr>
      <w:r>
        <w:rPr>
          <w:rFonts w:ascii="Arial" w:hAnsi="Arial"/>
          <w:b/>
          <w:color w:val="1A1A1A"/>
          <w:sz w:val="21"/>
        </w:rPr>
        <w:t>Automation Stack (Purchase → Delivery)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5040"/>
            <w:shd w:val="clear" w:color="auto" w:fill="1C2B3A"/>
            <w:tcBorders>
              <w:top w:val="single" w:sz="4" w:color="1C2B3A"/>
              <w:left w:val="single" w:sz="4" w:color="1C2B3A"/>
              <w:bottom w:val="single" w:sz="4" w:color="1C2B3A"/>
              <w:right w:val="single" w:sz="4" w:color="1C2B3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Task</w:t>
            </w:r>
          </w:p>
        </w:tc>
        <w:tc>
          <w:tcPr>
            <w:tcW w:type="dxa" w:w="1440"/>
            <w:shd w:val="clear" w:color="auto" w:fill="1C2B3A"/>
            <w:tcBorders>
              <w:top w:val="single" w:sz="4" w:color="1C2B3A"/>
              <w:left w:val="single" w:sz="4" w:color="1C2B3A"/>
              <w:bottom w:val="single" w:sz="4" w:color="1C2B3A"/>
              <w:right w:val="single" w:sz="4" w:color="1C2B3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440"/>
            <w:shd w:val="clear" w:color="auto" w:fill="1C2B3A"/>
            <w:tcBorders>
              <w:top w:val="single" w:sz="4" w:color="1C2B3A"/>
              <w:left w:val="single" w:sz="4" w:color="1C2B3A"/>
              <w:bottom w:val="single" w:sz="4" w:color="1C2B3A"/>
              <w:right w:val="single" w:sz="4" w:color="1C2B3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Priority</w:t>
            </w:r>
          </w:p>
        </w:tc>
        <w:tc>
          <w:tcPr>
            <w:tcW w:type="dxa" w:w="1440"/>
            <w:shd w:val="clear" w:color="auto" w:fill="1C2B3A"/>
            <w:tcBorders>
              <w:top w:val="single" w:sz="4" w:color="1C2B3A"/>
              <w:left w:val="single" w:sz="4" w:color="1C2B3A"/>
              <w:bottom w:val="single" w:sz="4" w:color="1C2B3A"/>
              <w:right w:val="single" w:sz="4" w:color="1C2B3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Target</w:t>
            </w:r>
          </w:p>
        </w:tc>
      </w:tr>
      <w:tr>
        <w:tc>
          <w:tcPr>
            <w:tcW w:type="dxa" w:w="50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Stan Store purchase fires webhook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Zapier or direct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Month 1 Wk 1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P0 - Critical</w:t>
            </w:r>
          </w:p>
        </w:tc>
      </w:tr>
      <w:tr>
        <w:tc>
          <w:tcPr>
            <w:tcW w:type="dxa" w:w="50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Webhook creates client row in Supabase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Auto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Month 1 Wk 1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P0 - Critical</w:t>
            </w:r>
          </w:p>
        </w:tc>
      </w:tr>
      <w:tr>
        <w:tc>
          <w:tcPr>
            <w:tcW w:type="dxa" w:w="50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Bridge key auto-generated + stored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Crypto random 32-char hex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Month 1 Wk 1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P0 - Critical</w:t>
            </w:r>
          </w:p>
        </w:tc>
      </w:tr>
      <w:tr>
        <w:tc>
          <w:tcPr>
            <w:tcW w:type="dxa" w:w="50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Welcome email sent with overlay URL + credentials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ConvertKit / MailerLite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Month 1 Wk 1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P1 - High</w:t>
            </w:r>
          </w:p>
        </w:tc>
      </w:tr>
      <w:tr>
        <w:tc>
          <w:tcPr>
            <w:tcW w:type="dxa" w:w="50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Typeform intake questionnaire triggered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Auto-link in welcome email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Month 1 Wk 1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P1 - High</w:t>
            </w:r>
          </w:p>
        </w:tc>
      </w:tr>
      <w:tr>
        <w:tc>
          <w:tcPr>
            <w:tcW w:type="dxa" w:w="50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Calendly booking link sent (Tier 2/3 + Custom)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Auto-link in welcome email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Month 1 Wk 1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P1 - High</w:t>
            </w:r>
          </w:p>
        </w:tc>
      </w:tr>
      <w:tr>
        <w:tc>
          <w:tcPr>
            <w:tcW w:type="dxa" w:w="50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Build row auto-created in builds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Edge function → Supabase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Month 1 Wk 2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P1 - High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rFonts w:ascii="Arial" w:hAnsi="Arial"/>
          <w:b/>
          <w:color w:val="1A1A1A"/>
          <w:sz w:val="21"/>
        </w:rPr>
        <w:t>Widget Roadmap (Monthly Drops)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5040"/>
            <w:shd w:val="clear" w:color="auto" w:fill="1C2B3A"/>
            <w:tcBorders>
              <w:top w:val="single" w:sz="4" w:color="1C2B3A"/>
              <w:left w:val="single" w:sz="4" w:color="1C2B3A"/>
              <w:bottom w:val="single" w:sz="4" w:color="1C2B3A"/>
              <w:right w:val="single" w:sz="4" w:color="1C2B3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Task</w:t>
            </w:r>
          </w:p>
        </w:tc>
        <w:tc>
          <w:tcPr>
            <w:tcW w:type="dxa" w:w="1440"/>
            <w:shd w:val="clear" w:color="auto" w:fill="1C2B3A"/>
            <w:tcBorders>
              <w:top w:val="single" w:sz="4" w:color="1C2B3A"/>
              <w:left w:val="single" w:sz="4" w:color="1C2B3A"/>
              <w:bottom w:val="single" w:sz="4" w:color="1C2B3A"/>
              <w:right w:val="single" w:sz="4" w:color="1C2B3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440"/>
            <w:shd w:val="clear" w:color="auto" w:fill="1C2B3A"/>
            <w:tcBorders>
              <w:top w:val="single" w:sz="4" w:color="1C2B3A"/>
              <w:left w:val="single" w:sz="4" w:color="1C2B3A"/>
              <w:bottom w:val="single" w:sz="4" w:color="1C2B3A"/>
              <w:right w:val="single" w:sz="4" w:color="1C2B3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Priority</w:t>
            </w:r>
          </w:p>
        </w:tc>
        <w:tc>
          <w:tcPr>
            <w:tcW w:type="dxa" w:w="1440"/>
            <w:shd w:val="clear" w:color="auto" w:fill="1C2B3A"/>
            <w:tcBorders>
              <w:top w:val="single" w:sz="4" w:color="1C2B3A"/>
              <w:left w:val="single" w:sz="4" w:color="1C2B3A"/>
              <w:bottom w:val="single" w:sz="4" w:color="1C2B3A"/>
              <w:right w:val="single" w:sz="4" w:color="1C2B3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Target</w:t>
            </w:r>
          </w:p>
        </w:tc>
      </w:tr>
      <w:tr>
        <w:tc>
          <w:tcPr>
            <w:tcW w:type="dxa" w:w="50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Widget #1: Break Roulette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Spin-wheel team randomizer with animation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Month 1 Wk 3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P1 - High</w:t>
            </w:r>
          </w:p>
        </w:tc>
      </w:tr>
      <w:tr>
        <w:tc>
          <w:tcPr>
            <w:tcW w:type="dxa" w:w="50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Widget #2: Countdown Timer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Configurable pack-open / break-start timer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Month 1 Wk 4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P2 - Medium</w:t>
            </w:r>
          </w:p>
        </w:tc>
      </w:tr>
      <w:tr>
        <w:tc>
          <w:tcPr>
            <w:tcW w:type="dxa" w:w="50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Widget #3: Buyer Spotlight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Animated sale callout on SSE event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Month 2 Wk 1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P2 - Medium</w:t>
            </w:r>
          </w:p>
        </w:tc>
      </w:tr>
      <w:tr>
        <w:tc>
          <w:tcPr>
            <w:tcW w:type="dxa" w:w="50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Widget #4: Revenue Tracker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Live break total display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Month 2 Wk 3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P2 - Medium</w:t>
            </w:r>
          </w:p>
        </w:tc>
      </w:tr>
      <w:tr>
        <w:tc>
          <w:tcPr>
            <w:tcW w:type="dxa" w:w="50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Widget #5: Hype Meter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Viewer interaction engagement bar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Month 3 Wk 1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P3 - Low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rFonts w:ascii="Arial" w:hAnsi="Arial"/>
          <w:b/>
          <w:color w:val="1A1A1A"/>
          <w:sz w:val="21"/>
        </w:rPr>
        <w:t>Email Sequence (Post-Purchase)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5040"/>
            <w:shd w:val="clear" w:color="auto" w:fill="1C2B3A"/>
            <w:tcBorders>
              <w:top w:val="single" w:sz="4" w:color="1C2B3A"/>
              <w:left w:val="single" w:sz="4" w:color="1C2B3A"/>
              <w:bottom w:val="single" w:sz="4" w:color="1C2B3A"/>
              <w:right w:val="single" w:sz="4" w:color="1C2B3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Task</w:t>
            </w:r>
          </w:p>
        </w:tc>
        <w:tc>
          <w:tcPr>
            <w:tcW w:type="dxa" w:w="1440"/>
            <w:shd w:val="clear" w:color="auto" w:fill="1C2B3A"/>
            <w:tcBorders>
              <w:top w:val="single" w:sz="4" w:color="1C2B3A"/>
              <w:left w:val="single" w:sz="4" w:color="1C2B3A"/>
              <w:bottom w:val="single" w:sz="4" w:color="1C2B3A"/>
              <w:right w:val="single" w:sz="4" w:color="1C2B3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440"/>
            <w:shd w:val="clear" w:color="auto" w:fill="1C2B3A"/>
            <w:tcBorders>
              <w:top w:val="single" w:sz="4" w:color="1C2B3A"/>
              <w:left w:val="single" w:sz="4" w:color="1C2B3A"/>
              <w:bottom w:val="single" w:sz="4" w:color="1C2B3A"/>
              <w:right w:val="single" w:sz="4" w:color="1C2B3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Priority</w:t>
            </w:r>
          </w:p>
        </w:tc>
        <w:tc>
          <w:tcPr>
            <w:tcW w:type="dxa" w:w="1440"/>
            <w:shd w:val="clear" w:color="auto" w:fill="1C2B3A"/>
            <w:tcBorders>
              <w:top w:val="single" w:sz="4" w:color="1C2B3A"/>
              <w:left w:val="single" w:sz="4" w:color="1C2B3A"/>
              <w:bottom w:val="single" w:sz="4" w:color="1C2B3A"/>
              <w:right w:val="single" w:sz="4" w:color="1C2B3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Target</w:t>
            </w:r>
          </w:p>
        </w:tc>
      </w:tr>
      <w:tr>
        <w:tc>
          <w:tcPr>
            <w:tcW w:type="dxa" w:w="50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Day 0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Welcome email: credentials + setup guide + booking link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—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—</w:t>
            </w:r>
          </w:p>
        </w:tc>
      </w:tr>
      <w:tr>
        <w:tc>
          <w:tcPr>
            <w:tcW w:type="dxa" w:w="50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Day 7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Check-in: setup going okay? Offer support session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—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—</w:t>
            </w:r>
          </w:p>
        </w:tc>
      </w:tr>
      <w:tr>
        <w:tc>
          <w:tcPr>
            <w:tcW w:type="dxa" w:w="50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Day 14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Upsell: Stream OS Pro — see your break analytics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—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—</w:t>
            </w:r>
          </w:p>
        </w:tc>
      </w:tr>
      <w:tr>
        <w:tc>
          <w:tcPr>
            <w:tcW w:type="dxa" w:w="50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Day 30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Review request: 5-star + video testimonial ask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—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—</w:t>
            </w:r>
          </w:p>
        </w:tc>
      </w:tr>
      <w:tr>
        <w:tc>
          <w:tcPr>
            <w:tcW w:type="dxa" w:w="50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Day 45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Referral: send a fellow breaker + earn $X credit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—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—</w:t>
            </w:r>
          </w:p>
        </w:tc>
      </w:tr>
    </w:tbl>
    <w:p>
      <w:pPr>
        <w:spacing w:after="120"/>
      </w:pPr>
    </w:p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15803D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FFFFFF"/>
                <w:sz w:val="22"/>
              </w:rPr>
              <w:t xml:space="preserve">PHASE 3  </w:t>
            </w:r>
            <w:r>
              <w:rPr>
                <w:rFonts w:ascii="Arial" w:hAnsi="Arial"/>
                <w:b/>
                <w:color w:val="FFFFFF"/>
                <w:sz w:val="28"/>
              </w:rPr>
              <w:t>Client Analytics Dashboard</w:t>
            </w:r>
          </w:p>
          <w:p>
            <w:r>
              <w:rPr>
                <w:rFonts w:ascii="Arial" w:hAnsi="Arial"/>
                <w:color w:val="CCE4FF"/>
                <w:sz w:val="18"/>
              </w:rPr>
              <w:t>Timeline: Month 2–3</w:t>
            </w:r>
          </w:p>
        </w:tc>
      </w:tr>
    </w:tbl>
    <w:p>
      <w:pPr>
        <w:spacing w:after="80"/>
      </w:pPr>
    </w:p>
    <w:p>
      <w:pPr>
        <w:spacing w:before="160" w:after="40"/>
      </w:pPr>
      <w:r>
        <w:rPr>
          <w:rFonts w:ascii="Arial" w:hAnsi="Arial"/>
          <w:b/>
          <w:color w:val="1A1A1A"/>
          <w:sz w:val="21"/>
        </w:rPr>
        <w:t>Objectives</w:t>
      </w:r>
    </w:p>
    <w:p>
      <w:pPr>
        <w:pStyle w:val="ListBullet"/>
        <w:spacing w:after="40"/>
        <w:ind w:left="288"/>
      </w:pPr>
      <w:r>
        <w:rPr>
          <w:rFonts w:ascii="Arial" w:hAnsi="Arial"/>
          <w:color w:val="1A1A1A"/>
          <w:sz w:val="20"/>
        </w:rPr>
        <w:t>Give Stream OS Pro subscribers ($197/mo) a break analytics dashboard — first of its kind for card break sellers</w:t>
      </w:r>
    </w:p>
    <w:p>
      <w:pPr>
        <w:pStyle w:val="ListBullet"/>
        <w:spacing w:after="40"/>
        <w:ind w:left="288"/>
      </w:pPr>
      <w:r>
        <w:rPr>
          <w:rFonts w:ascii="Arial" w:hAnsi="Arial"/>
          <w:color w:val="1A1A1A"/>
          <w:sz w:val="20"/>
        </w:rPr>
        <w:t>Justify the Pro subscription upgrade from every $97/mo subscriber</w:t>
      </w:r>
    </w:p>
    <w:p>
      <w:pPr>
        <w:pStyle w:val="ListBullet"/>
        <w:spacing w:after="40"/>
        <w:ind w:left="288"/>
      </w:pPr>
      <w:r>
        <w:rPr>
          <w:rFonts w:ascii="Arial" w:hAnsi="Arial"/>
          <w:color w:val="1A1A1A"/>
          <w:sz w:val="20"/>
        </w:rPr>
        <w:t>Begin building the data moat that makes the AI layer (Phase 4) possible</w:t>
      </w:r>
    </w:p>
    <w:p>
      <w:pPr>
        <w:spacing w:before="160" w:after="40"/>
      </w:pPr>
      <w:r>
        <w:rPr>
          <w:rFonts w:ascii="Arial" w:hAnsi="Arial"/>
          <w:b/>
          <w:color w:val="1A1A1A"/>
          <w:sz w:val="21"/>
        </w:rPr>
        <w:t>Dashboard Views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5040"/>
            <w:shd w:val="clear" w:color="auto" w:fill="1C2B3A"/>
            <w:tcBorders>
              <w:top w:val="single" w:sz="4" w:color="1C2B3A"/>
              <w:left w:val="single" w:sz="4" w:color="1C2B3A"/>
              <w:bottom w:val="single" w:sz="4" w:color="1C2B3A"/>
              <w:right w:val="single" w:sz="4" w:color="1C2B3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Task</w:t>
            </w:r>
          </w:p>
        </w:tc>
        <w:tc>
          <w:tcPr>
            <w:tcW w:type="dxa" w:w="1440"/>
            <w:shd w:val="clear" w:color="auto" w:fill="1C2B3A"/>
            <w:tcBorders>
              <w:top w:val="single" w:sz="4" w:color="1C2B3A"/>
              <w:left w:val="single" w:sz="4" w:color="1C2B3A"/>
              <w:bottom w:val="single" w:sz="4" w:color="1C2B3A"/>
              <w:right w:val="single" w:sz="4" w:color="1C2B3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440"/>
            <w:shd w:val="clear" w:color="auto" w:fill="1C2B3A"/>
            <w:tcBorders>
              <w:top w:val="single" w:sz="4" w:color="1C2B3A"/>
              <w:left w:val="single" w:sz="4" w:color="1C2B3A"/>
              <w:bottom w:val="single" w:sz="4" w:color="1C2B3A"/>
              <w:right w:val="single" w:sz="4" w:color="1C2B3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Priority</w:t>
            </w:r>
          </w:p>
        </w:tc>
        <w:tc>
          <w:tcPr>
            <w:tcW w:type="dxa" w:w="1440"/>
            <w:shd w:val="clear" w:color="auto" w:fill="1C2B3A"/>
            <w:tcBorders>
              <w:top w:val="single" w:sz="4" w:color="1C2B3A"/>
              <w:left w:val="single" w:sz="4" w:color="1C2B3A"/>
              <w:bottom w:val="single" w:sz="4" w:color="1C2B3A"/>
              <w:right w:val="single" w:sz="4" w:color="1C2B3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Target</w:t>
            </w:r>
          </w:p>
        </w:tc>
      </w:tr>
      <w:tr>
        <w:tc>
          <w:tcPr>
            <w:tcW w:type="dxa" w:w="50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Break History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All sessions: date, sport, teams sold, duration, break ID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Month 2 Wk 2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P1 - High</w:t>
            </w:r>
          </w:p>
        </w:tc>
      </w:tr>
      <w:tr>
        <w:tc>
          <w:tcPr>
            <w:tcW w:type="dxa" w:w="50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Revenue Analytics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Revenue per break, by sport, trend over 30/60/90 days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Month 2 Wk 2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P1 - High</w:t>
            </w:r>
          </w:p>
        </w:tc>
      </w:tr>
      <w:tr>
        <w:tc>
          <w:tcPr>
            <w:tcW w:type="dxa" w:w="50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Widget Manager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Toggle active features on/off (admin-controlled, client-visible)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Month 2 Wk 3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P2 - Medium</w:t>
            </w:r>
          </w:p>
        </w:tc>
      </w:tr>
      <w:tr>
        <w:tc>
          <w:tcPr>
            <w:tcW w:type="dxa" w:w="50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Buyer Insights (Phase 4 preview)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Top buyers, repeat rate, spending trends — Phase 4 data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Month 4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P2 - Medium</w:t>
            </w:r>
          </w:p>
        </w:tc>
      </w:tr>
    </w:tbl>
    <w:p>
      <w:pPr>
        <w:spacing w:after="120"/>
      </w:pPr>
    </w:p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C2410C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FFFFFF"/>
                <w:sz w:val="22"/>
              </w:rPr>
              <w:t xml:space="preserve">PHASE 4  </w:t>
            </w:r>
            <w:r>
              <w:rPr>
                <w:rFonts w:ascii="Arial" w:hAnsi="Arial"/>
                <w:b/>
                <w:color w:val="FFFFFF"/>
                <w:sz w:val="28"/>
              </w:rPr>
              <w:t>AI Business Intelligence Layer</w:t>
            </w:r>
          </w:p>
          <w:p>
            <w:r>
              <w:rPr>
                <w:rFonts w:ascii="Arial" w:hAnsi="Arial"/>
                <w:color w:val="CCE4FF"/>
                <w:sz w:val="18"/>
              </w:rPr>
              <w:t>Timeline: Month 4+</w:t>
            </w:r>
          </w:p>
        </w:tc>
      </w:tr>
    </w:tbl>
    <w:p>
      <w:pPr>
        <w:spacing w:after="80"/>
      </w:pPr>
    </w:p>
    <w:p>
      <w:pPr>
        <w:spacing w:before="160" w:after="40"/>
      </w:pPr>
      <w:r>
        <w:rPr>
          <w:rFonts w:ascii="Arial" w:hAnsi="Arial"/>
          <w:b/>
          <w:color w:val="1A1A1A"/>
          <w:sz w:val="21"/>
        </w:rPr>
        <w:t>Objectives</w:t>
      </w:r>
    </w:p>
    <w:p>
      <w:pPr>
        <w:pStyle w:val="ListBullet"/>
        <w:spacing w:after="40"/>
        <w:ind w:left="288"/>
      </w:pPr>
      <w:r>
        <w:rPr>
          <w:rFonts w:ascii="Arial" w:hAnsi="Arial"/>
          <w:color w:val="1A1A1A"/>
          <w:sz w:val="20"/>
        </w:rPr>
        <w:t>Convert TSU from a platform into an AI-powered business advisor for card break sellers</w:t>
      </w:r>
    </w:p>
    <w:p>
      <w:pPr>
        <w:pStyle w:val="ListBullet"/>
        <w:spacing w:after="40"/>
        <w:ind w:left="288"/>
      </w:pPr>
      <w:r>
        <w:rPr>
          <w:rFonts w:ascii="Arial" w:hAnsi="Arial"/>
          <w:color w:val="1A1A1A"/>
          <w:sz w:val="20"/>
        </w:rPr>
        <w:t>Make the data collected since Phase 1 work for each client</w:t>
      </w:r>
    </w:p>
    <w:p>
      <w:pPr>
        <w:pStyle w:val="ListBullet"/>
        <w:spacing w:after="40"/>
        <w:ind w:left="288"/>
      </w:pPr>
      <w:r>
        <w:rPr>
          <w:rFonts w:ascii="Arial" w:hAnsi="Arial"/>
          <w:color w:val="1A1A1A"/>
          <w:sz w:val="20"/>
        </w:rPr>
        <w:t>Launch TSU Inner Circle — the premium coaching + AI insights tier</w:t>
      </w:r>
    </w:p>
    <w:p>
      <w:pPr>
        <w:spacing w:before="160" w:after="40"/>
      </w:pPr>
      <w:r>
        <w:rPr>
          <w:rFonts w:ascii="Arial" w:hAnsi="Arial"/>
          <w:b/>
          <w:color w:val="1A1A1A"/>
          <w:sz w:val="21"/>
        </w:rPr>
        <w:t>AI Capabilities (Claude API + Supabase data)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5040"/>
            <w:shd w:val="clear" w:color="auto" w:fill="1C2B3A"/>
            <w:tcBorders>
              <w:top w:val="single" w:sz="4" w:color="1C2B3A"/>
              <w:left w:val="single" w:sz="4" w:color="1C2B3A"/>
              <w:bottom w:val="single" w:sz="4" w:color="1C2B3A"/>
              <w:right w:val="single" w:sz="4" w:color="1C2B3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Task</w:t>
            </w:r>
          </w:p>
        </w:tc>
        <w:tc>
          <w:tcPr>
            <w:tcW w:type="dxa" w:w="1440"/>
            <w:shd w:val="clear" w:color="auto" w:fill="1C2B3A"/>
            <w:tcBorders>
              <w:top w:val="single" w:sz="4" w:color="1C2B3A"/>
              <w:left w:val="single" w:sz="4" w:color="1C2B3A"/>
              <w:bottom w:val="single" w:sz="4" w:color="1C2B3A"/>
              <w:right w:val="single" w:sz="4" w:color="1C2B3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440"/>
            <w:shd w:val="clear" w:color="auto" w:fill="1C2B3A"/>
            <w:tcBorders>
              <w:top w:val="single" w:sz="4" w:color="1C2B3A"/>
              <w:left w:val="single" w:sz="4" w:color="1C2B3A"/>
              <w:bottom w:val="single" w:sz="4" w:color="1C2B3A"/>
              <w:right w:val="single" w:sz="4" w:color="1C2B3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Priority</w:t>
            </w:r>
          </w:p>
        </w:tc>
        <w:tc>
          <w:tcPr>
            <w:tcW w:type="dxa" w:w="1440"/>
            <w:shd w:val="clear" w:color="auto" w:fill="1C2B3A"/>
            <w:tcBorders>
              <w:top w:val="single" w:sz="4" w:color="1C2B3A"/>
              <w:left w:val="single" w:sz="4" w:color="1C2B3A"/>
              <w:bottom w:val="single" w:sz="4" w:color="1C2B3A"/>
              <w:right w:val="single" w:sz="4" w:color="1C2B3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Target</w:t>
            </w:r>
          </w:p>
        </w:tc>
      </w:tr>
      <w:tr>
        <w:tc>
          <w:tcPr>
            <w:tcW w:type="dxa" w:w="50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Break pattern analysis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Best days/times for each client based on historical performance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Month 4 Wk 2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P1 - High</w:t>
            </w:r>
          </w:p>
        </w:tc>
      </w:tr>
      <w:tr>
        <w:tc>
          <w:tcPr>
            <w:tcW w:type="dxa" w:w="50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Sport margin comparison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Which sports are most profitable for this specific client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Month 4 Wk 2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P1 - High</w:t>
            </w:r>
          </w:p>
        </w:tc>
      </w:tr>
      <w:tr>
        <w:tc>
          <w:tcPr>
            <w:tcW w:type="dxa" w:w="50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Pricing recommendations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Compare per-slot pricing against comparable sellers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Month 4 Wk 3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P2 - Medium</w:t>
            </w:r>
          </w:p>
        </w:tc>
      </w:tr>
      <w:tr>
        <w:tc>
          <w:tcPr>
            <w:tcW w:type="dxa" w:w="50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Buyer pattern analysis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Top 20% buyers, repeat rate, churn signals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Month 4 Wk 3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P2 - Medium</w:t>
            </w:r>
          </w:p>
        </w:tc>
      </w:tr>
      <w:tr>
        <w:tc>
          <w:tcPr>
            <w:tcW w:type="dxa" w:w="50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Monthly AI digest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Auto-generated monthly business summary per client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Month 5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P1 - High</w:t>
            </w:r>
          </w:p>
        </w:tc>
      </w:tr>
    </w:tbl>
    <w:p>
      <w:pPr>
        <w:spacing w:after="120"/>
      </w:pPr>
    </w:p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BE185D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FFFFFF"/>
                <w:sz w:val="22"/>
              </w:rPr>
              <w:t xml:space="preserve">PHASE 5  </w:t>
            </w:r>
            <w:r>
              <w:rPr>
                <w:rFonts w:ascii="Arial" w:hAnsi="Arial"/>
                <w:b/>
                <w:color w:val="FFFFFF"/>
                <w:sz w:val="28"/>
              </w:rPr>
              <w:t>Marketing &amp; Launch</w:t>
            </w:r>
          </w:p>
          <w:p>
            <w:r>
              <w:rPr>
                <w:rFonts w:ascii="Arial" w:hAnsi="Arial"/>
                <w:color w:val="CCE4FF"/>
                <w:sz w:val="18"/>
              </w:rPr>
              <w:t>Timeline: Week 2–4</w:t>
            </w:r>
          </w:p>
        </w:tc>
      </w:tr>
    </w:tbl>
    <w:p>
      <w:pPr>
        <w:spacing w:after="80"/>
      </w:pPr>
    </w:p>
    <w:p>
      <w:pPr>
        <w:spacing w:before="160" w:after="40"/>
      </w:pPr>
      <w:r>
        <w:rPr>
          <w:rFonts w:ascii="Arial" w:hAnsi="Arial"/>
          <w:b/>
          <w:color w:val="1A1A1A"/>
          <w:sz w:val="21"/>
        </w:rPr>
        <w:t>Landing Page Structure (Hormozi Flow)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5040"/>
            <w:shd w:val="clear" w:color="auto" w:fill="1C2B3A"/>
            <w:tcBorders>
              <w:top w:val="single" w:sz="4" w:color="1C2B3A"/>
              <w:left w:val="single" w:sz="4" w:color="1C2B3A"/>
              <w:bottom w:val="single" w:sz="4" w:color="1C2B3A"/>
              <w:right w:val="single" w:sz="4" w:color="1C2B3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Task</w:t>
            </w:r>
          </w:p>
        </w:tc>
        <w:tc>
          <w:tcPr>
            <w:tcW w:type="dxa" w:w="1440"/>
            <w:shd w:val="clear" w:color="auto" w:fill="1C2B3A"/>
            <w:tcBorders>
              <w:top w:val="single" w:sz="4" w:color="1C2B3A"/>
              <w:left w:val="single" w:sz="4" w:color="1C2B3A"/>
              <w:bottom w:val="single" w:sz="4" w:color="1C2B3A"/>
              <w:right w:val="single" w:sz="4" w:color="1C2B3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440"/>
            <w:shd w:val="clear" w:color="auto" w:fill="1C2B3A"/>
            <w:tcBorders>
              <w:top w:val="single" w:sz="4" w:color="1C2B3A"/>
              <w:left w:val="single" w:sz="4" w:color="1C2B3A"/>
              <w:bottom w:val="single" w:sz="4" w:color="1C2B3A"/>
              <w:right w:val="single" w:sz="4" w:color="1C2B3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Priority</w:t>
            </w:r>
          </w:p>
        </w:tc>
        <w:tc>
          <w:tcPr>
            <w:tcW w:type="dxa" w:w="1440"/>
            <w:shd w:val="clear" w:color="auto" w:fill="1C2B3A"/>
            <w:tcBorders>
              <w:top w:val="single" w:sz="4" w:color="1C2B3A"/>
              <w:left w:val="single" w:sz="4" w:color="1C2B3A"/>
              <w:bottom w:val="single" w:sz="4" w:color="1C2B3A"/>
              <w:right w:val="single" w:sz="4" w:color="1C2B3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Target</w:t>
            </w:r>
          </w:p>
        </w:tc>
      </w:tr>
      <w:tr>
        <w:tc>
          <w:tcPr>
            <w:tcW w:type="dxa" w:w="50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Section 1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Pain Hook (above fold): "Your card break stream is losing buyers right now"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—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—</w:t>
            </w:r>
          </w:p>
        </w:tc>
      </w:tr>
      <w:tr>
        <w:tc>
          <w:tcPr>
            <w:tcW w:type="dxa" w:w="50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Section 2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Agitate: missing tiles, no automation, losing to pro-looking competitors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—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—</w:t>
            </w:r>
          </w:p>
        </w:tc>
      </w:tr>
      <w:tr>
        <w:tc>
          <w:tcPr>
            <w:tcW w:type="dxa" w:w="50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Section 3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Dream Outcome: "Imagine going live and chat asks what overlay is that?"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—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—</w:t>
            </w:r>
          </w:p>
        </w:tc>
      </w:tr>
      <w:tr>
        <w:tc>
          <w:tcPr>
            <w:tcW w:type="dxa" w:w="50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Section 4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Live Demo: interactive overlay iframe — show SSE automation in real time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—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—</w:t>
            </w:r>
          </w:p>
        </w:tc>
      </w:tr>
      <w:tr>
        <w:tc>
          <w:tcPr>
            <w:tcW w:type="dxa" w:w="50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Section 5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Social Proof: 60+ builds stat, written reviews, video testimonials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—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—</w:t>
            </w:r>
          </w:p>
        </w:tc>
      </w:tr>
      <w:tr>
        <w:tc>
          <w:tcPr>
            <w:tcW w:type="dxa" w:w="50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Section 6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Offer Stack: all 4 tiers + bonus stack ($538 value shown + crossed out)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—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—</w:t>
            </w:r>
          </w:p>
        </w:tc>
      </w:tr>
      <w:tr>
        <w:tc>
          <w:tcPr>
            <w:tcW w:type="dxa" w:w="50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Section 7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Guarantee: full-width block, stands alone, conversion multiplier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—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—</w:t>
            </w:r>
          </w:p>
        </w:tc>
      </w:tr>
      <w:tr>
        <w:tc>
          <w:tcPr>
            <w:tcW w:type="dxa" w:w="50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Section 8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Scarcity: 5 spots this week + founding member window closing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—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—</w:t>
            </w:r>
          </w:p>
        </w:tc>
      </w:tr>
      <w:tr>
        <w:tc>
          <w:tcPr>
            <w:tcW w:type="dxa" w:w="50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Section 9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FAQ + Final CTA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—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—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rFonts w:ascii="Arial" w:hAnsi="Arial"/>
          <w:b/>
          <w:color w:val="1A1A1A"/>
          <w:sz w:val="21"/>
        </w:rPr>
        <w:t>90-Minute Launch Stream Script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5040"/>
            <w:shd w:val="clear" w:color="auto" w:fill="1C2B3A"/>
            <w:tcBorders>
              <w:top w:val="single" w:sz="4" w:color="1C2B3A"/>
              <w:left w:val="single" w:sz="4" w:color="1C2B3A"/>
              <w:bottom w:val="single" w:sz="4" w:color="1C2B3A"/>
              <w:right w:val="single" w:sz="4" w:color="1C2B3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Task</w:t>
            </w:r>
          </w:p>
        </w:tc>
        <w:tc>
          <w:tcPr>
            <w:tcW w:type="dxa" w:w="1440"/>
            <w:shd w:val="clear" w:color="auto" w:fill="1C2B3A"/>
            <w:tcBorders>
              <w:top w:val="single" w:sz="4" w:color="1C2B3A"/>
              <w:left w:val="single" w:sz="4" w:color="1C2B3A"/>
              <w:bottom w:val="single" w:sz="4" w:color="1C2B3A"/>
              <w:right w:val="single" w:sz="4" w:color="1C2B3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440"/>
            <w:shd w:val="clear" w:color="auto" w:fill="1C2B3A"/>
            <w:tcBorders>
              <w:top w:val="single" w:sz="4" w:color="1C2B3A"/>
              <w:left w:val="single" w:sz="4" w:color="1C2B3A"/>
              <w:bottom w:val="single" w:sz="4" w:color="1C2B3A"/>
              <w:right w:val="single" w:sz="4" w:color="1C2B3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Priority</w:t>
            </w:r>
          </w:p>
        </w:tc>
        <w:tc>
          <w:tcPr>
            <w:tcW w:type="dxa" w:w="1440"/>
            <w:shd w:val="clear" w:color="auto" w:fill="1C2B3A"/>
            <w:tcBorders>
              <w:top w:val="single" w:sz="4" w:color="1C2B3A"/>
              <w:left w:val="single" w:sz="4" w:color="1C2B3A"/>
              <w:bottom w:val="single" w:sz="4" w:color="1C2B3A"/>
              <w:right w:val="single" w:sz="4" w:color="1C2B3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Target</w:t>
            </w:r>
          </w:p>
        </w:tc>
      </w:tr>
      <w:tr>
        <w:tc>
          <w:tcPr>
            <w:tcW w:type="dxa" w:w="50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0–15 min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Value delivery: "Why your stream is costing you sales right now"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—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—</w:t>
            </w:r>
          </w:p>
        </w:tc>
      </w:tr>
      <w:tr>
        <w:tc>
          <w:tcPr>
            <w:tcW w:type="dxa" w:w="50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15–30 min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Live overlay demo: show SSE automation selling a team tile in real time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—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—</w:t>
            </w:r>
          </w:p>
        </w:tc>
      </w:tr>
      <w:tr>
        <w:tc>
          <w:tcPr>
            <w:tcW w:type="dxa" w:w="50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30–45 min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New packages + bonus stack reveal ($538 in bonuses)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—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—</w:t>
            </w:r>
          </w:p>
        </w:tc>
      </w:tr>
      <w:tr>
        <w:tc>
          <w:tcPr>
            <w:tcW w:type="dxa" w:w="50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45–55 min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Guarantee reveal + live objection handling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—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—</w:t>
            </w:r>
          </w:p>
        </w:tc>
      </w:tr>
      <w:tr>
        <w:tc>
          <w:tcPr>
            <w:tcW w:type="dxa" w:w="50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55–60 min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Open cart: "5 spots this week" scarcity + founding member pricing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—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—</w:t>
            </w:r>
          </w:p>
        </w:tc>
      </w:tr>
      <w:tr>
        <w:tc>
          <w:tcPr>
            <w:tcW w:type="dxa" w:w="50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60–85 min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Live Q&amp;A while cart is open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—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—</w:t>
            </w:r>
          </w:p>
        </w:tc>
      </w:tr>
      <w:tr>
        <w:tc>
          <w:tcPr>
            <w:tcW w:type="dxa" w:w="50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85–90 min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Final countdown + bonus expiration close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—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—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before="320" w:after="80"/>
        <w:pBdr>
          <w:bottom w:val="single" w:sz="8" w:space="4" w:color="006EC9"/>
        </w:pBdr>
      </w:pPr>
      <w:r>
        <w:rPr>
          <w:rFonts w:ascii="Arial" w:hAnsi="Arial"/>
          <w:b/>
          <w:color w:val="1C2B3A"/>
          <w:sz w:val="30"/>
        </w:rPr>
        <w:t>5.  Technical Architecture Overview</w:t>
      </w:r>
    </w:p>
    <w:p>
      <w:pPr>
        <w:spacing w:before="0" w:after="120"/>
      </w:pPr>
      <w:r>
        <w:rPr>
          <w:rFonts w:ascii="Arial" w:hAnsi="Arial"/>
          <w:b w:val="0"/>
          <w:i w:val="0"/>
          <w:sz w:val="20"/>
        </w:rPr>
        <w:t>Current state → target state migration. All changes are backward-compatible during transition.</w:t>
      </w:r>
    </w:p>
    <w:p>
      <w:pPr>
        <w:spacing w:before="240" w:after="60"/>
      </w:pPr>
      <w:r>
        <w:rPr>
          <w:rFonts w:ascii="Arial" w:hAnsi="Arial"/>
          <w:b/>
          <w:color w:val="006EC9"/>
          <w:sz w:val="24"/>
        </w:rPr>
        <w:t>5.1  Current State (Problem)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5040"/>
            <w:shd w:val="clear" w:color="auto" w:fill="1C2B3A"/>
            <w:tcBorders>
              <w:top w:val="single" w:sz="4" w:color="1C2B3A"/>
              <w:left w:val="single" w:sz="4" w:color="1C2B3A"/>
              <w:bottom w:val="single" w:sz="4" w:color="1C2B3A"/>
              <w:right w:val="single" w:sz="4" w:color="1C2B3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Task</w:t>
            </w:r>
          </w:p>
        </w:tc>
        <w:tc>
          <w:tcPr>
            <w:tcW w:type="dxa" w:w="1440"/>
            <w:shd w:val="clear" w:color="auto" w:fill="1C2B3A"/>
            <w:tcBorders>
              <w:top w:val="single" w:sz="4" w:color="1C2B3A"/>
              <w:left w:val="single" w:sz="4" w:color="1C2B3A"/>
              <w:bottom w:val="single" w:sz="4" w:color="1C2B3A"/>
              <w:right w:val="single" w:sz="4" w:color="1C2B3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440"/>
            <w:shd w:val="clear" w:color="auto" w:fill="1C2B3A"/>
            <w:tcBorders>
              <w:top w:val="single" w:sz="4" w:color="1C2B3A"/>
              <w:left w:val="single" w:sz="4" w:color="1C2B3A"/>
              <w:bottom w:val="single" w:sz="4" w:color="1C2B3A"/>
              <w:right w:val="single" w:sz="4" w:color="1C2B3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Priority</w:t>
            </w:r>
          </w:p>
        </w:tc>
        <w:tc>
          <w:tcPr>
            <w:tcW w:type="dxa" w:w="1440"/>
            <w:shd w:val="clear" w:color="auto" w:fill="1C2B3A"/>
            <w:tcBorders>
              <w:top w:val="single" w:sz="4" w:color="1C2B3A"/>
              <w:left w:val="single" w:sz="4" w:color="1C2B3A"/>
              <w:bottom w:val="single" w:sz="4" w:color="1C2B3A"/>
              <w:right w:val="single" w:sz="4" w:color="1C2B3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Target</w:t>
            </w:r>
          </w:p>
        </w:tc>
      </w:tr>
      <w:tr>
        <w:tc>
          <w:tcPr>
            <w:tcW w:type="dxa" w:w="50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N clients = N Render free services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Cold starts after 15 min inactivity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Scales linearly with cost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No central data</w:t>
            </w:r>
          </w:p>
        </w:tc>
      </w:tr>
      <w:tr>
        <w:tc>
          <w:tcPr>
            <w:tcW w:type="dxa" w:w="50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Manual client setup (bridge per client)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Separate DNS/env per service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Zero analytics possible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Manual onboarding</w:t>
            </w:r>
          </w:p>
        </w:tc>
      </w:tr>
    </w:tbl>
    <w:p>
      <w:pPr>
        <w:spacing w:after="120"/>
      </w:pPr>
    </w:p>
    <w:p>
      <w:pPr>
        <w:spacing w:before="240" w:after="60"/>
      </w:pPr>
      <w:r>
        <w:rPr>
          <w:rFonts w:ascii="Arial" w:hAnsi="Arial"/>
          <w:b/>
          <w:color w:val="006EC9"/>
          <w:sz w:val="24"/>
        </w:rPr>
        <w:t>5.2  Target State (Solution)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5040"/>
            <w:shd w:val="clear" w:color="auto" w:fill="1C2B3A"/>
            <w:tcBorders>
              <w:top w:val="single" w:sz="4" w:color="1C2B3A"/>
              <w:left w:val="single" w:sz="4" w:color="1C2B3A"/>
              <w:bottom w:val="single" w:sz="4" w:color="1C2B3A"/>
              <w:right w:val="single" w:sz="4" w:color="1C2B3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Task</w:t>
            </w:r>
          </w:p>
        </w:tc>
        <w:tc>
          <w:tcPr>
            <w:tcW w:type="dxa" w:w="1440"/>
            <w:shd w:val="clear" w:color="auto" w:fill="1C2B3A"/>
            <w:tcBorders>
              <w:top w:val="single" w:sz="4" w:color="1C2B3A"/>
              <w:left w:val="single" w:sz="4" w:color="1C2B3A"/>
              <w:bottom w:val="single" w:sz="4" w:color="1C2B3A"/>
              <w:right w:val="single" w:sz="4" w:color="1C2B3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440"/>
            <w:shd w:val="clear" w:color="auto" w:fill="1C2B3A"/>
            <w:tcBorders>
              <w:top w:val="single" w:sz="4" w:color="1C2B3A"/>
              <w:left w:val="single" w:sz="4" w:color="1C2B3A"/>
              <w:bottom w:val="single" w:sz="4" w:color="1C2B3A"/>
              <w:right w:val="single" w:sz="4" w:color="1C2B3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Priority</w:t>
            </w:r>
          </w:p>
        </w:tc>
        <w:tc>
          <w:tcPr>
            <w:tcW w:type="dxa" w:w="1440"/>
            <w:shd w:val="clear" w:color="auto" w:fill="1C2B3A"/>
            <w:tcBorders>
              <w:top w:val="single" w:sz="4" w:color="1C2B3A"/>
              <w:left w:val="single" w:sz="4" w:color="1C2B3A"/>
              <w:bottom w:val="single" w:sz="4" w:color="1C2B3A"/>
              <w:right w:val="single" w:sz="4" w:color="1C2B3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Target</w:t>
            </w:r>
          </w:p>
        </w:tc>
      </w:tr>
      <w:tr>
        <w:tc>
          <w:tcPr>
            <w:tcW w:type="dxa" w:w="50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Single Render paid dyno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Always-on, no cold starts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Flat $7/mo regardless of clients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Central Supabase DB</w:t>
            </w:r>
          </w:p>
        </w:tc>
      </w:tr>
      <w:tr>
        <w:tc>
          <w:tcPr>
            <w:tcW w:type="dxa" w:w="50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Multi-tenant bridge (key-isolated)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Custom domain: bridge.tradesecretsunlocked.com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Every event logged automatically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Auto-onboarding via webhook</w:t>
            </w:r>
          </w:p>
        </w:tc>
      </w:tr>
    </w:tbl>
    <w:p>
      <w:pPr>
        <w:spacing w:after="120"/>
      </w:pPr>
    </w:p>
    <w:p>
      <w:pPr>
        <w:spacing w:before="240" w:after="60"/>
      </w:pPr>
      <w:r>
        <w:rPr>
          <w:rFonts w:ascii="Arial" w:hAnsi="Arial"/>
          <w:b/>
          <w:color w:val="006EC9"/>
          <w:sz w:val="24"/>
        </w:rPr>
        <w:t>5.3  Database Schema (Supabase)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5040"/>
            <w:shd w:val="clear" w:color="auto" w:fill="1C2B3A"/>
            <w:tcBorders>
              <w:top w:val="single" w:sz="4" w:color="1C2B3A"/>
              <w:left w:val="single" w:sz="4" w:color="1C2B3A"/>
              <w:bottom w:val="single" w:sz="4" w:color="1C2B3A"/>
              <w:right w:val="single" w:sz="4" w:color="1C2B3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Task</w:t>
            </w:r>
          </w:p>
        </w:tc>
        <w:tc>
          <w:tcPr>
            <w:tcW w:type="dxa" w:w="1440"/>
            <w:shd w:val="clear" w:color="auto" w:fill="1C2B3A"/>
            <w:tcBorders>
              <w:top w:val="single" w:sz="4" w:color="1C2B3A"/>
              <w:left w:val="single" w:sz="4" w:color="1C2B3A"/>
              <w:bottom w:val="single" w:sz="4" w:color="1C2B3A"/>
              <w:right w:val="single" w:sz="4" w:color="1C2B3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440"/>
            <w:shd w:val="clear" w:color="auto" w:fill="1C2B3A"/>
            <w:tcBorders>
              <w:top w:val="single" w:sz="4" w:color="1C2B3A"/>
              <w:left w:val="single" w:sz="4" w:color="1C2B3A"/>
              <w:bottom w:val="single" w:sz="4" w:color="1C2B3A"/>
              <w:right w:val="single" w:sz="4" w:color="1C2B3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Priority</w:t>
            </w:r>
          </w:p>
        </w:tc>
        <w:tc>
          <w:tcPr>
            <w:tcW w:type="dxa" w:w="1440"/>
            <w:shd w:val="clear" w:color="auto" w:fill="1C2B3A"/>
            <w:tcBorders>
              <w:top w:val="single" w:sz="4" w:color="1C2B3A"/>
              <w:left w:val="single" w:sz="4" w:color="1C2B3A"/>
              <w:bottom w:val="single" w:sz="4" w:color="1C2B3A"/>
              <w:right w:val="single" w:sz="4" w:color="1C2B3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Target</w:t>
            </w:r>
          </w:p>
        </w:tc>
      </w:tr>
      <w:tr>
        <w:tc>
          <w:tcPr>
            <w:tcW w:type="dxa" w:w="50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clients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id, bridge_key, plan_tier, email, created_at, active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Client registry + auth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—</w:t>
            </w:r>
          </w:p>
        </w:tc>
      </w:tr>
      <w:tr>
        <w:tc>
          <w:tcPr>
            <w:tcW w:type="dxa" w:w="50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break_sessions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id, client_id, break_id, sport, started_at, ended_at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Break tracking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—</w:t>
            </w:r>
          </w:p>
        </w:tc>
      </w:tr>
      <w:tr>
        <w:tc>
          <w:tcPr>
            <w:tcW w:type="dxa" w:w="50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sale_events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id, session_id, team_code, listing_key, timestamp, buyer_name, amount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Every sale logged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—</w:t>
            </w:r>
          </w:p>
        </w:tc>
      </w:tr>
      <w:tr>
        <w:tc>
          <w:tcPr>
            <w:tcW w:type="dxa" w:w="50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widget_flags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client_id, widget_name, enabled, updated_at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Feature flag per client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Phase 2</w:t>
            </w:r>
          </w:p>
        </w:tc>
      </w:tr>
    </w:tbl>
    <w:p>
      <w:pPr>
        <w:spacing w:after="120"/>
      </w:pPr>
    </w:p>
    <w:p>
      <w:pPr>
        <w:spacing w:before="240" w:after="60"/>
      </w:pPr>
      <w:r>
        <w:rPr>
          <w:rFonts w:ascii="Arial" w:hAnsi="Arial"/>
          <w:b/>
          <w:color w:val="006EC9"/>
          <w:sz w:val="24"/>
        </w:rPr>
        <w:t>5.4  Cost Comparison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5040"/>
            <w:shd w:val="clear" w:color="auto" w:fill="1C2B3A"/>
            <w:tcBorders>
              <w:top w:val="single" w:sz="4" w:color="1C2B3A"/>
              <w:left w:val="single" w:sz="4" w:color="1C2B3A"/>
              <w:bottom w:val="single" w:sz="4" w:color="1C2B3A"/>
              <w:right w:val="single" w:sz="4" w:color="1C2B3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Task</w:t>
            </w:r>
          </w:p>
        </w:tc>
        <w:tc>
          <w:tcPr>
            <w:tcW w:type="dxa" w:w="1440"/>
            <w:shd w:val="clear" w:color="auto" w:fill="1C2B3A"/>
            <w:tcBorders>
              <w:top w:val="single" w:sz="4" w:color="1C2B3A"/>
              <w:left w:val="single" w:sz="4" w:color="1C2B3A"/>
              <w:bottom w:val="single" w:sz="4" w:color="1C2B3A"/>
              <w:right w:val="single" w:sz="4" w:color="1C2B3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440"/>
            <w:shd w:val="clear" w:color="auto" w:fill="1C2B3A"/>
            <w:tcBorders>
              <w:top w:val="single" w:sz="4" w:color="1C2B3A"/>
              <w:left w:val="single" w:sz="4" w:color="1C2B3A"/>
              <w:bottom w:val="single" w:sz="4" w:color="1C2B3A"/>
              <w:right w:val="single" w:sz="4" w:color="1C2B3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Priority</w:t>
            </w:r>
          </w:p>
        </w:tc>
        <w:tc>
          <w:tcPr>
            <w:tcW w:type="dxa" w:w="1440"/>
            <w:shd w:val="clear" w:color="auto" w:fill="1C2B3A"/>
            <w:tcBorders>
              <w:top w:val="single" w:sz="4" w:color="1C2B3A"/>
              <w:left w:val="single" w:sz="4" w:color="1C2B3A"/>
              <w:bottom w:val="single" w:sz="4" w:color="1C2B3A"/>
              <w:right w:val="single" w:sz="4" w:color="1C2B3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Target</w:t>
            </w:r>
          </w:p>
        </w:tc>
      </w:tr>
      <w:tr>
        <w:tc>
          <w:tcPr>
            <w:tcW w:type="dxa" w:w="50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Current (10 free Render services)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10 × free (but cold starts hurt UX)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~$0/mo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Operational pain</w:t>
            </w:r>
          </w:p>
        </w:tc>
      </w:tr>
      <w:tr>
        <w:tc>
          <w:tcPr>
            <w:tcW w:type="dxa" w:w="50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Current (10 paid Render services)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10 × $7/mo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$70/mo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Does not scale</w:t>
            </w:r>
          </w:p>
        </w:tc>
      </w:tr>
      <w:tr>
        <w:tc>
          <w:tcPr>
            <w:tcW w:type="dxa" w:w="50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Target (1 paid + Supabase free tier)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$7/mo + $0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$7/mo</w:t>
            </w:r>
          </w:p>
        </w:tc>
        <w:tc>
          <w:tcPr>
            <w:tcW w:type="dxa" w:w="1440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Scales to 500+ clients</w:t>
            </w:r>
          </w:p>
        </w:tc>
      </w:tr>
      <w:tr>
        <w:tc>
          <w:tcPr>
            <w:tcW w:type="dxa" w:w="50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1A1A1A"/>
                <w:sz w:val="17"/>
              </w:rPr>
              <w:t>Target (at scale, Redis added)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$7 + $10 Redis + $25 Supabase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$42/mo</w:t>
            </w:r>
          </w:p>
        </w:tc>
        <w:tc>
          <w:tcPr>
            <w:tcW w:type="dxa" w:w="1440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rPr>
                <w:rFonts w:ascii="Arial" w:hAnsi="Arial"/>
                <w:b w:val="0"/>
                <w:color w:val="1A1A1A"/>
                <w:sz w:val="17"/>
              </w:rPr>
              <w:t>500+ clients, full analytics</w:t>
            </w:r>
          </w:p>
        </w:tc>
      </w:tr>
    </w:tbl>
    <w:p>
      <w:pPr>
        <w:spacing w:after="120"/>
      </w:pPr>
    </w:p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8F5E9"/>
            <w:tcBorders>
              <w:top w:val="single" w:sz="6" w:color="28A745"/>
              <w:left w:val="single" w:sz="6" w:color="28A745"/>
              <w:bottom w:val="single" w:sz="6" w:color="28A745"/>
              <w:right w:val="single" w:sz="6" w:color="28A745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1A7F3C"/>
                <w:sz w:val="20"/>
              </w:rPr>
              <w:t xml:space="preserve">COST IMPACT:  </w:t>
            </w:r>
            <w:r>
              <w:rPr>
                <w:rFonts w:ascii="Arial" w:hAnsi="Arial"/>
                <w:color w:val="1A1A1A"/>
                <w:sz w:val="20"/>
              </w:rPr>
              <w:t>Moving to centralized architecture at current client count (~25 active) saves approximately $168/month vs. individual paid dynos, and eliminates the cold-start UX problem for all clients on free tier. Break-even on the paid dyno happens at 1 subscriber.</w:t>
            </w:r>
          </w:p>
        </w:tc>
      </w:tr>
    </w:tbl>
    <w:p>
      <w:pPr>
        <w:spacing w:after="80"/>
      </w:pPr>
    </w:p>
    <w:p>
      <w:pPr>
        <w:spacing w:before="320" w:after="80"/>
        <w:pBdr>
          <w:bottom w:val="single" w:sz="8" w:space="4" w:color="006EC9"/>
        </w:pBdr>
      </w:pPr>
      <w:r>
        <w:rPr>
          <w:rFonts w:ascii="Arial" w:hAnsi="Arial"/>
          <w:b/>
          <w:color w:val="1C2B3A"/>
          <w:sz w:val="30"/>
        </w:rPr>
        <w:t>6.  Project Tracking</w:t>
      </w:r>
    </w:p>
    <w:p>
      <w:pPr>
        <w:spacing w:before="0" w:after="80"/>
      </w:pPr>
      <w:r>
        <w:rPr>
          <w:rFonts w:ascii="Arial" w:hAnsi="Arial"/>
          <w:b w:val="0"/>
          <w:i w:val="0"/>
          <w:sz w:val="20"/>
        </w:rPr>
        <w:t>All 53 tasks from this plan are tracked in Supabase: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8F4FD"/>
            <w:tcBorders>
              <w:top w:val="single" w:sz="6" w:color="006EC9"/>
              <w:left w:val="single" w:sz="6" w:color="006EC9"/>
              <w:bottom w:val="single" w:sz="6" w:color="006EC9"/>
              <w:right w:val="single" w:sz="6" w:color="006EC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006EC9"/>
                <w:sz w:val="20"/>
              </w:rPr>
              <w:t xml:space="preserve">WHERE:  </w:t>
            </w:r>
            <w:r>
              <w:rPr>
                <w:rFonts w:ascii="Arial" w:hAnsi="Arial"/>
                <w:color w:val="1A1A1A"/>
                <w:sz w:val="20"/>
              </w:rPr>
              <w:t>TSU HQ → Projects and Tasks, backed by the Supabase tables projects and admin_tasks. Filter by phase for phase-specific views. Filter by status = in_progress for active work.</w:t>
            </w:r>
          </w:p>
        </w:tc>
      </w:tr>
    </w:tbl>
    <w:p>
      <w:pPr>
        <w:spacing w:after="80"/>
      </w:pPr>
    </w:p>
    <w:p>
      <w:pPr>
        <w:spacing w:before="0" w:after="60"/>
      </w:pPr>
      <w:r>
        <w:rPr>
          <w:rFonts w:ascii="Arial" w:hAnsi="Arial"/>
          <w:b w:val="0"/>
          <w:i w:val="0"/>
          <w:sz w:val="20"/>
        </w:rPr>
        <w:t>Tasks are organized by:</w:t>
      </w:r>
    </w:p>
    <w:p>
      <w:pPr>
        <w:pStyle w:val="ListBullet"/>
        <w:spacing w:after="40"/>
        <w:ind w:left="288"/>
      </w:pPr>
      <w:r>
        <w:rPr>
          <w:rFonts w:ascii="Arial" w:hAnsi="Arial"/>
          <w:color w:val="1A1A1A"/>
          <w:sz w:val="20"/>
        </w:rPr>
        <w:t>Phase (0 through 5)</w:t>
      </w:r>
    </w:p>
    <w:p>
      <w:pPr>
        <w:pStyle w:val="ListBullet"/>
        <w:spacing w:after="40"/>
        <w:ind w:left="288"/>
      </w:pPr>
      <w:r>
        <w:rPr>
          <w:rFonts w:ascii="Arial" w:hAnsi="Arial"/>
          <w:color w:val="1A1A1A"/>
          <w:sz w:val="20"/>
        </w:rPr>
        <w:t>Status (Not Started / In Progress / Blocked / Done)</w:t>
      </w:r>
    </w:p>
    <w:p>
      <w:pPr>
        <w:pStyle w:val="ListBullet"/>
        <w:spacing w:after="40"/>
        <w:ind w:left="288"/>
      </w:pPr>
      <w:r>
        <w:rPr>
          <w:rFonts w:ascii="Arial" w:hAnsi="Arial"/>
          <w:color w:val="1A1A1A"/>
          <w:sz w:val="20"/>
        </w:rPr>
        <w:t>Priority (P0 Critical through P3 Low)</w:t>
      </w:r>
    </w:p>
    <w:p>
      <w:pPr>
        <w:pStyle w:val="ListBullet"/>
        <w:spacing w:after="40"/>
        <w:ind w:left="288"/>
      </w:pPr>
      <w:r>
        <w:rPr>
          <w:rFonts w:ascii="Arial" w:hAnsi="Arial"/>
          <w:color w:val="1A1A1A"/>
          <w:sz w:val="20"/>
        </w:rPr>
        <w:t>Category (Infrastructure / Product / Offer &amp; Pricing / Marketing / Operations / Client Success)</w:t>
      </w:r>
    </w:p>
    <w:p>
      <w:pPr>
        <w:pStyle w:val="ListBullet"/>
        <w:spacing w:after="40"/>
        <w:ind w:left="288"/>
      </w:pPr>
      <w:r>
        <w:rPr>
          <w:rFonts w:ascii="Arial" w:hAnsi="Arial"/>
          <w:color w:val="1A1A1A"/>
          <w:sz w:val="20"/>
        </w:rPr>
        <w:t>Target Week (Week 1 through Month 4+)</w:t>
      </w:r>
    </w:p>
    <w:sectPr w:rsidR="00FC693F" w:rsidRPr="0006063C" w:rsidSect="00034616">
      <w:footerReference w:type="default" r:id="rId9"/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66666"/>
        <w:sz w:val="16"/>
      </w:rPr>
      <w:t>Trade Secrets Unlocked — Internal Strategy Document  |  v1.0  |  May 2026  |  Confidential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