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C2B3A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006EC9"/>
                <w:sz w:val="20"/>
              </w:rPr>
              <w:t>TRADE SECRETS UNLOCKED</w:t>
            </w:r>
          </w:p>
          <w:p>
            <w:r>
              <w:rPr>
                <w:rFonts w:ascii="Arial" w:hAnsi="Arial"/>
                <w:b/>
                <w:color w:val="FFFFFF"/>
                <w:sz w:val="44"/>
              </w:rPr>
              <w:t>TSU Platform Migration</w:t>
              <w:br/>
              <w:t>&amp; Growth Plan</w:t>
            </w:r>
          </w:p>
          <w:p>
            <w:r>
              <w:rPr>
                <w:rFonts w:ascii="Arial" w:hAnsi="Arial"/>
                <w:color w:val="A0C4E8"/>
                <w:sz w:val="20"/>
              </w:rPr>
              <w:t>Offer Restructure  ·  Bridge Migration  ·  SaaS Platform  ·  AI Layer</w:t>
            </w:r>
          </w:p>
          <w:p>
            <w:r>
              <w:rPr>
                <w:rFonts w:ascii="Arial" w:hAnsi="Arial"/>
                <w:color w:val="77A0C0"/>
                <w:sz w:val="18"/>
              </w:rPr>
              <w:t>Version 1.0  |  May 2026  |  Internal Strategy Document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single" w:sz="6" w:color="006EC9"/>
              <w:left w:val="single" w:sz="6" w:color="006EC9"/>
              <w:bottom w:val="single" w:sz="6" w:color="006EC9"/>
              <w:right w:val="single" w:sz="6" w:color="006EC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6EC9"/>
                <w:sz w:val="20"/>
              </w:rPr>
              <w:t xml:space="preserve">STRATEGIC OBJECTIVE:  </w:t>
            </w:r>
            <w:r>
              <w:rPr>
                <w:rFonts w:ascii="Arial" w:hAnsi="Arial"/>
                <w:color w:val="1A1A1A"/>
                <w:sz w:val="20"/>
              </w:rPr>
              <w:t>Convert TSU from a one-time overlay build service into a multi-tenant SaaS platform (TSU Stream OS) with recurring revenue, automated onboarding, centralized bridge infrastructure, a client analytics dashboard, and an AI business intelligence layer — making TSU the operating system for card break businesses on Whatnot.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8" w:space="4" w:color="006EC9"/>
        </w:pBdr>
      </w:pPr>
      <w:r>
        <w:rPr>
          <w:rFonts w:ascii="Arial" w:hAnsi="Arial"/>
          <w:b/>
          <w:color w:val="1C2B3A"/>
          <w:sz w:val="30"/>
        </w:rPr>
        <w:t>1.  Vision &amp; Strategic Framework</w:t>
      </w:r>
    </w:p>
    <w:p>
      <w:pPr>
        <w:spacing w:before="0" w:after="120"/>
      </w:pPr>
      <w:r>
        <w:rPr>
          <w:rFonts w:ascii="Arial" w:hAnsi="Arial"/>
          <w:b w:val="0"/>
          <w:i w:val="0"/>
          <w:sz w:val="20"/>
        </w:rPr>
        <w:t>The core reframe: TSU is not an overlay company. TSU is the operating system for card break businesses on Whatnot. The overlay is the front door. The platform is the business.</w:t>
      </w:r>
    </w:p>
    <w:p>
      <w:pPr>
        <w:spacing w:before="0" w:after="60"/>
      </w:pPr>
      <w:r>
        <w:rPr>
          <w:rFonts w:ascii="Arial" w:hAnsi="Arial"/>
          <w:b/>
          <w:i w:val="0"/>
          <w:sz w:val="20"/>
        </w:rPr>
        <w:t>Applying the Hormozi Value Equation: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Dream Outcome: Running a thriving, professional card break operation generating $5K–$20K/month without managing any of the tech yourself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Perceived Likelihood: High — proven by 60+ delivered builds and visible results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Time Delay: Minimized — ASAP is the answer from 100% of discovery call respondents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Effort &amp; Sacrifice: Eliminated — TSU handles everything tech-related permanently</w:t>
      </w: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  <w:tcBorders>
              <w:top w:val="single" w:sz="6" w:color="28A745"/>
              <w:left w:val="single" w:sz="6" w:color="28A745"/>
              <w:bottom w:val="single" w:sz="6" w:color="28A745"/>
              <w:right w:val="single" w:sz="6" w:color="28A745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7F3C"/>
                <w:sz w:val="20"/>
              </w:rPr>
              <w:t xml:space="preserve">THE ONE-SENTENCE PITCH:  </w:t>
            </w:r>
            <w:r>
              <w:rPr>
                <w:rFonts w:ascii="Arial" w:hAnsi="Arial"/>
                <w:color w:val="1A1A1A"/>
                <w:sz w:val="20"/>
              </w:rPr>
              <w:t>"TSU Stream OS runs the entire tech side of your card break business — your overlay stays live and updated, sales sync automatically, and as we build out analytics and AI tools, you're first in line. $97/month, cancel any time."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8" w:space="4" w:color="006EC9"/>
        </w:pBdr>
      </w:pPr>
      <w:r>
        <w:rPr>
          <w:rFonts w:ascii="Arial" w:hAnsi="Arial"/>
          <w:b/>
          <w:color w:val="1C2B3A"/>
          <w:sz w:val="30"/>
        </w:rPr>
        <w:t>2.  Final Offer Stack &amp; Pricing</w:t>
      </w:r>
    </w:p>
    <w:p>
      <w:pPr>
        <w:spacing w:before="0" w:after="120"/>
      </w:pPr>
      <w:r>
        <w:rPr>
          <w:rFonts w:ascii="Arial" w:hAnsi="Arial"/>
          <w:b w:val="0"/>
          <w:i w:val="0"/>
          <w:sz w:val="20"/>
        </w:rPr>
        <w:t>Built on a product ladder that maximizes LTV while maintaining accessible entry points. Every paid tier above Quick Launch requires the Stream OS platform subscription.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872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296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744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Value Prop</w:t>
            </w:r>
          </w:p>
        </w:tc>
      </w:tr>
      <w:tr>
        <w:tc>
          <w:tcPr>
            <w:tcW w:type="dxa" w:w="1008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Entry</w:t>
            </w:r>
          </w:p>
        </w:tc>
        <w:tc>
          <w:tcPr>
            <w:tcW w:type="dxa" w:w="1872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Quick Launch</w:t>
            </w:r>
          </w:p>
        </w:tc>
        <w:tc>
          <w:tcPr>
            <w:tcW w:type="dxa" w:w="129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8"/>
              </w:rPr>
              <w:t>$197 one-time</w:t>
            </w:r>
          </w:p>
        </w:tc>
        <w:tc>
          <w:tcPr>
            <w:tcW w:type="dxa" w:w="1440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One-time</w:t>
            </w:r>
          </w:p>
        </w:tc>
        <w:tc>
          <w:tcPr>
            <w:tcW w:type="dxa" w:w="3744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1 sport, 1 layout, OBS guide, 30-min onboarding, 30-day email support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Core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Stream Pro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8"/>
              </w:rPr>
              <w:t>$398 one-time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One-time + Stream OS required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3 sports, full automation, stream graphics, 2x setup sessions, priority beta</w:t>
            </w:r>
          </w:p>
        </w:tc>
      </w:tr>
      <w:tr>
        <w:tc>
          <w:tcPr>
            <w:tcW w:type="dxa" w:w="1008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Premium</w:t>
            </w:r>
          </w:p>
        </w:tc>
        <w:tc>
          <w:tcPr>
            <w:tcW w:type="dxa" w:w="1872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Custom Build</w:t>
            </w:r>
          </w:p>
        </w:tc>
        <w:tc>
          <w:tcPr>
            <w:tcW w:type="dxa" w:w="129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8"/>
              </w:rPr>
              <w:t>$650–$1,500</w:t>
            </w:r>
          </w:p>
        </w:tc>
        <w:tc>
          <w:tcPr>
            <w:tcW w:type="dxa" w:w="1440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One-time + Stream OS required</w:t>
            </w:r>
          </w:p>
        </w:tc>
        <w:tc>
          <w:tcPr>
            <w:tcW w:type="dxa" w:w="3744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Full custom design, non-standard layouts, dedicated build consultations</w:t>
            </w:r>
          </w:p>
        </w:tc>
      </w:tr>
      <w:tr>
        <w:tc>
          <w:tcPr>
            <w:tcW w:type="dxa" w:w="1008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856000"/>
                <w:sz w:val="18"/>
              </w:rPr>
              <w:t>⭐ SUB</w:t>
            </w:r>
          </w:p>
        </w:tc>
        <w:tc>
          <w:tcPr>
            <w:tcW w:type="dxa" w:w="1872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856000"/>
                <w:sz w:val="18"/>
              </w:rPr>
              <w:t>TSU Stream OS</w:t>
            </w:r>
          </w:p>
        </w:tc>
        <w:tc>
          <w:tcPr>
            <w:tcW w:type="dxa" w:w="1296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856000"/>
                <w:sz w:val="18"/>
              </w:rPr>
              <w:t>$97/month</w:t>
            </w:r>
          </w:p>
        </w:tc>
        <w:tc>
          <w:tcPr>
            <w:tcW w:type="dxa" w:w="144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856000"/>
                <w:sz w:val="18"/>
              </w:rPr>
              <w:t>Subscription — THE business</w:t>
            </w:r>
          </w:p>
        </w:tc>
        <w:tc>
          <w:tcPr>
            <w:tcW w:type="dxa" w:w="3744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856000"/>
                <w:sz w:val="18"/>
              </w:rPr>
              <w:t>Hosted overlay + maintenance, monthly widget drops, bridge uptime, priority support</w:t>
            </w:r>
          </w:p>
        </w:tc>
      </w:tr>
      <w:tr>
        <w:tc>
          <w:tcPr>
            <w:tcW w:type="dxa" w:w="1008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Pro Sub</w:t>
            </w:r>
          </w:p>
        </w:tc>
        <w:tc>
          <w:tcPr>
            <w:tcW w:type="dxa" w:w="1872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Stream OS Pro</w:t>
            </w:r>
          </w:p>
        </w:tc>
        <w:tc>
          <w:tcPr>
            <w:tcW w:type="dxa" w:w="1296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8"/>
              </w:rPr>
              <w:t>$197/month</w:t>
            </w:r>
          </w:p>
        </w:tc>
        <w:tc>
          <w:tcPr>
            <w:tcW w:type="dxa" w:w="1440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Subscription (Phase 3 unlock)</w:t>
            </w:r>
          </w:p>
        </w:tc>
        <w:tc>
          <w:tcPr>
            <w:tcW w:type="dxa" w:w="3744"/>
            <w:shd w:val="clear" w:color="auto" w:fill="F8FB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Everything in Stream OS + break analytics dashboard, revenue tracking, widget management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Elite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TSU Inner Circle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8"/>
              </w:rPr>
              <w:t>$500–$1,000/mo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Subscription (Phase 4 launch)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8"/>
              </w:rPr>
              <w:t>Stream OS Pro + AI insights, monthly group strategy calls, early feature access, 10 seats max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2.1  Guarantee (Risk Reversal)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top w:val="single" w:sz="6" w:color="FFC107"/>
              <w:left w:val="single" w:sz="6" w:color="FFC107"/>
              <w:bottom w:val="single" w:sz="6" w:color="FFC107"/>
              <w:right w:val="single" w:sz="6" w:color="FFC10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56000"/>
                <w:sz w:val="20"/>
              </w:rPr>
              <w:t xml:space="preserve">30-DAY GUARANTEE:  </w:t>
            </w:r>
            <w:r>
              <w:rPr>
                <w:rFonts w:ascii="Arial" w:hAnsi="Arial"/>
                <w:color w:val="1A1A1A"/>
                <w:sz w:val="20"/>
              </w:rPr>
              <w:t>"If your stream doesn't look more professional than anything else on your platform within 30 days of going live, we'll rebuild it from scratch — for free. No questions asked." This turns a $398 decision into a zero-risk bet and should appear above the fold on the landing page.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2.2  Bonus Stack ($538 in Value)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The Whatnot Break Playbook — how to structure a break to maximize sales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Included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$197 value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All paid tiers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Stream Optimization Checklist — 27-point pro stream setup guide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Included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$97 value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All paid tiers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TSU Bridge Auto-Sold Walkthrough — full automation video tutorial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Included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$147 value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Stream Pro+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Break Pricing Template — how to price your breaks for max revenue per slot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Included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$97 value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All paid tiers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2.3  Scarcity &amp; Urgency Mechanics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"Only 5 custom build slots per week" — real constraint while manual build process is active. Retire when automation increases throughput.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Founding Member Rate: $97/mo locked before price rises to $147/mo. Finite window.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Launch bonus stack expires 48 hours after stream / page launch event.</w:t>
      </w:r>
    </w:p>
    <w:p>
      <w:pPr>
        <w:spacing w:before="0" w:after="100"/>
      </w:pP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2.4  TSU Stream OS — What Subscribers Get Monthly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BEB"/>
            <w:tcBorders>
              <w:top w:val="single" w:sz="6" w:color="DC3545"/>
              <w:left w:val="single" w:sz="6" w:color="DC3545"/>
              <w:bottom w:val="single" w:sz="6" w:color="DC3545"/>
              <w:right w:val="single" w:sz="6" w:color="DC3545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0392B"/>
                <w:sz w:val="20"/>
              </w:rPr>
              <w:t xml:space="preserve">DEFINE THIS BEFORE LAUNCH:  </w:t>
            </w:r>
            <w:r>
              <w:rPr>
                <w:rFonts w:ascii="Arial" w:hAnsi="Arial"/>
                <w:color w:val="1A1A1A"/>
                <w:sz w:val="20"/>
              </w:rPr>
              <w:t>This must be scoped clearly before selling the subscription. Vague promises erode trust at month 3.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Hosted overlay stays live, updated, and maintained on platform infrastructure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SSE bridge infrastructure kept running 24/7 (centralized, always-on)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One new widget or feature drop per month (Break Roulette, Countdown Timer, Buyer Spotlight, etc.)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Priority support response (same-day during support hours)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Early access to new features before public release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Future: analytics dashboard, AI insights — included as platform matures</w:t>
      </w:r>
    </w:p>
    <w:p>
      <w:r>
        <w:br w:type="page"/>
      </w:r>
    </w:p>
    <w:p>
      <w:pPr>
        <w:spacing w:before="320" w:after="80"/>
        <w:pBdr>
          <w:bottom w:val="single" w:sz="8" w:space="4" w:color="006EC9"/>
        </w:pBdr>
      </w:pPr>
      <w:r>
        <w:rPr>
          <w:rFonts w:ascii="Arial" w:hAnsi="Arial"/>
          <w:b/>
          <w:color w:val="1C2B3A"/>
          <w:sz w:val="30"/>
        </w:rPr>
        <w:t>3.  Master Rollout Timeline</w:t>
      </w:r>
    </w:p>
    <w:p>
      <w:pPr>
        <w:spacing w:before="0" w:after="120"/>
      </w:pPr>
      <w:r>
        <w:rPr>
          <w:rFonts w:ascii="Arial" w:hAnsi="Arial"/>
          <w:b w:val="0"/>
          <w:i w:val="0"/>
          <w:sz w:val="20"/>
        </w:rPr>
        <w:t>Six parallel phases. Phases 0, 1, and 5 run concurrently in the first 4 weeks. Phases 2–4 follow sequentially.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3168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16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Success Metric</w:t>
            </w:r>
          </w:p>
        </w:tc>
        <w:tc>
          <w:tcPr>
            <w:tcW w:type="dxa" w:w="72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MRR Impact</w:t>
            </w:r>
          </w:p>
        </w:tc>
      </w:tr>
      <w:tr>
        <w:tc>
          <w:tcPr>
            <w:tcW w:type="dxa" w:w="1152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Phase 0</w:t>
            </w:r>
          </w:p>
        </w:tc>
        <w:tc>
          <w:tcPr>
            <w:tcW w:type="dxa" w:w="216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1–2</w:t>
            </w:r>
          </w:p>
        </w:tc>
        <w:tc>
          <w:tcPr>
            <w:tcW w:type="dxa" w:w="3168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Offer restructure, Stan Store updates, Stream OS listing live</w:t>
            </w:r>
          </w:p>
        </w:tc>
        <w:tc>
          <w:tcPr>
            <w:tcW w:type="dxa" w:w="216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$500+ MRR from founding members</w:t>
            </w:r>
          </w:p>
        </w:tc>
        <w:tc>
          <w:tcPr>
            <w:tcW w:type="dxa" w:w="72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↑↑↑</w:t>
            </w:r>
          </w:p>
        </w:tc>
      </w:tr>
      <w:tr>
        <w:tc>
          <w:tcPr>
            <w:tcW w:type="dxa" w:w="1152"/>
            <w:shd w:val="clear" w:color="auto" w:fill="E8F4F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Phase 1</w:t>
            </w:r>
          </w:p>
        </w:tc>
        <w:tc>
          <w:tcPr>
            <w:tcW w:type="dxa" w:w="2160"/>
            <w:shd w:val="clear" w:color="auto" w:fill="E8F4F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1–3</w:t>
            </w:r>
          </w:p>
        </w:tc>
        <w:tc>
          <w:tcPr>
            <w:tcW w:type="dxa" w:w="3168"/>
            <w:shd w:val="clear" w:color="auto" w:fill="E8F4F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Multi-tenant bridge deployed, all new clients on centralized infra, existing clients migrated</w:t>
            </w:r>
          </w:p>
        </w:tc>
        <w:tc>
          <w:tcPr>
            <w:tcW w:type="dxa" w:w="2160"/>
            <w:shd w:val="clear" w:color="auto" w:fill="E8F4F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Zero individual Render services remain</w:t>
            </w:r>
          </w:p>
        </w:tc>
        <w:tc>
          <w:tcPr>
            <w:tcW w:type="dxa" w:w="720"/>
            <w:shd w:val="clear" w:color="auto" w:fill="E8F4F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↑ Cost</w:t>
            </w:r>
          </w:p>
        </w:tc>
      </w:tr>
      <w:tr>
        <w:tc>
          <w:tcPr>
            <w:tcW w:type="dxa" w:w="1152"/>
            <w:shd w:val="clear" w:color="auto" w:fill="F0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Phase 5</w:t>
            </w:r>
          </w:p>
        </w:tc>
        <w:tc>
          <w:tcPr>
            <w:tcW w:type="dxa" w:w="2160"/>
            <w:shd w:val="clear" w:color="auto" w:fill="F0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2–4</w:t>
            </w:r>
          </w:p>
        </w:tc>
        <w:tc>
          <w:tcPr>
            <w:tcW w:type="dxa" w:w="3168"/>
            <w:shd w:val="clear" w:color="auto" w:fill="F0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Rebuilt landing page, founding member outreach, 90-min launch stream</w:t>
            </w:r>
          </w:p>
        </w:tc>
        <w:tc>
          <w:tcPr>
            <w:tcW w:type="dxa" w:w="2160"/>
            <w:shd w:val="clear" w:color="auto" w:fill="F0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5+ Stream OS signups from stream</w:t>
            </w:r>
          </w:p>
        </w:tc>
        <w:tc>
          <w:tcPr>
            <w:tcW w:type="dxa" w:w="720"/>
            <w:shd w:val="clear" w:color="auto" w:fill="F0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↑↑</w:t>
            </w:r>
          </w:p>
        </w:tc>
      </w:tr>
      <w:tr>
        <w:tc>
          <w:tcPr>
            <w:tcW w:type="dxa" w:w="1152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Phase 2</w:t>
            </w:r>
          </w:p>
        </w:tc>
        <w:tc>
          <w:tcPr>
            <w:tcW w:type="dxa" w:w="2160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1–2</w:t>
            </w:r>
          </w:p>
        </w:tc>
        <w:tc>
          <w:tcPr>
            <w:tcW w:type="dxa" w:w="3168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Auto-onboarding, intake automation, widget feature flag system, Widget #1 shipped</w:t>
            </w:r>
          </w:p>
        </w:tc>
        <w:tc>
          <w:tcPr>
            <w:tcW w:type="dxa" w:w="2160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&lt; 15 min manual work per new client</w:t>
            </w:r>
          </w:p>
        </w:tc>
        <w:tc>
          <w:tcPr>
            <w:tcW w:type="dxa" w:w="720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↑</w:t>
            </w:r>
          </w:p>
        </w:tc>
      </w:tr>
      <w:tr>
        <w:tc>
          <w:tcPr>
            <w:tcW w:type="dxa" w:w="1152"/>
            <w:shd w:val="clear" w:color="auto" w:fill="FF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Phase 3</w:t>
            </w:r>
          </w:p>
        </w:tc>
        <w:tc>
          <w:tcPr>
            <w:tcW w:type="dxa" w:w="2160"/>
            <w:shd w:val="clear" w:color="auto" w:fill="FF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2–3</w:t>
            </w:r>
          </w:p>
        </w:tc>
        <w:tc>
          <w:tcPr>
            <w:tcW w:type="dxa" w:w="3168"/>
            <w:shd w:val="clear" w:color="auto" w:fill="FF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Client analytics dashboard (Stream OS Pro unlock at $197/mo)</w:t>
            </w:r>
          </w:p>
        </w:tc>
        <w:tc>
          <w:tcPr>
            <w:tcW w:type="dxa" w:w="2160"/>
            <w:shd w:val="clear" w:color="auto" w:fill="FF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10+ Pro upgrades from existing base</w:t>
            </w:r>
          </w:p>
        </w:tc>
        <w:tc>
          <w:tcPr>
            <w:tcW w:type="dxa" w:w="720"/>
            <w:shd w:val="clear" w:color="auto" w:fill="FFF0E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↑↑</w:t>
            </w:r>
          </w:p>
        </w:tc>
      </w:tr>
      <w:tr>
        <w:tc>
          <w:tcPr>
            <w:tcW w:type="dxa" w:w="1152"/>
            <w:shd w:val="clear" w:color="auto" w:fill="FDE8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Phase 4</w:t>
            </w:r>
          </w:p>
        </w:tc>
        <w:tc>
          <w:tcPr>
            <w:tcW w:type="dxa" w:w="2160"/>
            <w:shd w:val="clear" w:color="auto" w:fill="FDE8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4+</w:t>
            </w:r>
          </w:p>
        </w:tc>
        <w:tc>
          <w:tcPr>
            <w:tcW w:type="dxa" w:w="3168"/>
            <w:shd w:val="clear" w:color="auto" w:fill="FDE8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AI insights engine, pricing recommendations, buyer patterns, Inner Circle launch</w:t>
            </w:r>
          </w:p>
        </w:tc>
        <w:tc>
          <w:tcPr>
            <w:tcW w:type="dxa" w:w="2160"/>
            <w:shd w:val="clear" w:color="auto" w:fill="FDE8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5 Inner Circle seats = $3,750 MRR</w:t>
            </w:r>
          </w:p>
        </w:tc>
        <w:tc>
          <w:tcPr>
            <w:tcW w:type="dxa" w:w="720"/>
            <w:shd w:val="clear" w:color="auto" w:fill="FDE8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↑↑↑</w:t>
            </w:r>
          </w:p>
        </w:tc>
      </w:tr>
    </w:tbl>
    <w:p>
      <w:pPr>
        <w:spacing w:after="160"/>
      </w:pP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3.1  MRR Projection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Founding member outreach (30% of 60+ existing clients @ $97/mo)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Target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~18 clients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$1,746/mo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New Stream OS signups from launch stream (conservative)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Target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5 clients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$485/mo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New sales requiring Stream OS (ongoing, 4/week avg)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~16/mo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$1,552/mo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Stream OS Pro upgrades from existing base (Month 3)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3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10 clients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$1,970/mo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Inner Circle launch (Month 4, 5 seats @ $750 avg)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4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5 seats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$3,750/mo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Cumulative MRR at Month 4 (conservative)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Projection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~$9,500/mo</w:t>
            </w:r>
          </w:p>
        </w:tc>
      </w:tr>
    </w:tbl>
    <w:p>
      <w:pPr>
        <w:spacing w:after="120"/>
      </w:pPr>
    </w:p>
    <w:p>
      <w:pPr>
        <w:spacing w:before="0" w:after="160"/>
      </w:pPr>
      <w:r>
        <w:rPr>
          <w:rFonts w:ascii="Arial" w:hAnsi="Arial"/>
          <w:b w:val="0"/>
          <w:i/>
          <w:color w:val="666666"/>
          <w:sz w:val="20"/>
        </w:rPr>
        <w:t>Note: These projections assume no growth in new client acquisition — purely from existing base + current conversion rate. Any improvement in landing page conversion accelerates all numbers.</w:t>
      </w:r>
    </w:p>
    <w:p>
      <w:pPr>
        <w:spacing w:before="320" w:after="80"/>
        <w:pBdr>
          <w:bottom w:val="single" w:sz="8" w:space="4" w:color="006EC9"/>
        </w:pBdr>
      </w:pPr>
      <w:r>
        <w:rPr>
          <w:rFonts w:ascii="Arial" w:hAnsi="Arial"/>
          <w:b/>
          <w:color w:val="1C2B3A"/>
          <w:sz w:val="30"/>
        </w:rPr>
        <w:t>4.  Phase Detail Plans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9E0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PHASE 0  </w:t>
            </w:r>
            <w:r>
              <w:rPr>
                <w:rFonts w:ascii="Arial" w:hAnsi="Arial"/>
                <w:b/>
                <w:color w:val="FFFFFF"/>
                <w:sz w:val="28"/>
              </w:rPr>
              <w:t>Offer Restructure</w:t>
            </w:r>
          </w:p>
          <w:p>
            <w:r>
              <w:rPr>
                <w:rFonts w:ascii="Arial" w:hAnsi="Arial"/>
                <w:color w:val="CCE4FF"/>
                <w:sz w:val="18"/>
              </w:rPr>
              <w:t>Timeline: Week 1–2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Objectives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Launch TSU Stream OS subscription on Stan Store at $97/mo (founding member rate)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Add guarantee to existing landing page immediately — zero cost, instant conversion lift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Convert existing Tier 2/3 clients to founding members before public launch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Define monthly subscriber deliverables before making any public promises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Critical Tasks — Week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Define TSU Stream OS monthly deliverables &amp; widget roadmap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E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Day 1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Create Stream OS subscription on Stan Store ($97/mo)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E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Day 2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Add guarantee block to existing landing page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E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Day 2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Write guarantee copy + bonus stack descriptions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Day 3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Finalize all 4 tier names, features, and positioning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E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Day 3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Critical Tasks — Week 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Email founding member offer to all existing clients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Day 8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Update Stan Store listings with bonus stack + new framing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Day 9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Add scarcity messaging (5 custom spots/week) to CTAs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Day 10</w:t>
            </w:r>
          </w:p>
        </w:tc>
      </w:tr>
    </w:tbl>
    <w:p>
      <w:pPr>
        <w:spacing w:after="12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D6FA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PHASE 1  </w:t>
            </w:r>
            <w:r>
              <w:rPr>
                <w:rFonts w:ascii="Arial" w:hAnsi="Arial"/>
                <w:b/>
                <w:color w:val="FFFFFF"/>
                <w:sz w:val="28"/>
              </w:rPr>
              <w:t>Bridge Migration</w:t>
            </w:r>
          </w:p>
          <w:p>
            <w:r>
              <w:rPr>
                <w:rFonts w:ascii="Arial" w:hAnsi="Arial"/>
                <w:color w:val="CCE4FF"/>
                <w:sz w:val="18"/>
              </w:rPr>
              <w:t>Timeline: Week 1–3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Architecture Summary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Replace N individual Render free-tier services with one paid always-on multi-tenant Node.js bridge. Client isolation via bridge key authentication. Single domain: bridge.tradesecretsunlocked.com.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Tech Stack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Runtime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Node.js + Express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Real-time routing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In-memory Map (client_id → SSE connections)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Database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Supabase (PostgreSQL + REST API)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Hosting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Render paid web service ($7/mo always-on)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Domain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bridge.tradesecretsunlocked.com (CNAME)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Scale path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Add Redis pub/sub when &gt; 1 dyno needed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API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GET /events/subscribe?clientId=&amp;channel=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SSE connection endpoint for overlays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POST /events/publish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Sale event from Chrome extension (auth: bridge key)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GET /health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Uptime check endpoint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GET /config/:clientId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Widget feature flags for this client (Phase 2)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Migration Steps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Build + test multi-tenant bridge locally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E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1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Set up Supabase schema + deploy to Render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E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2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Configure bridge.tradesecretsunlocked.com domain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2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Multi-client isolation + reconnect testing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E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2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All new clients go to new bridge immediately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EB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2 (on deploy)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Outreach to existing clients: update OBS ?bridge= URL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3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Decommission individual Render services per client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3 (rolling)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Update TSU Overlay Agent skill with new URL format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Not Started</w:t>
            </w:r>
          </w:p>
        </w:tc>
        <w:tc>
          <w:tcPr>
            <w:tcW w:type="dxa" w:w="1440"/>
            <w:shd w:val="clear" w:color="auto" w:fill="FFF8E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Week 2</w:t>
            </w:r>
          </w:p>
        </w:tc>
      </w:tr>
    </w:tbl>
    <w:p>
      <w:pPr>
        <w:spacing w:after="12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PHASE 2  </w:t>
            </w:r>
            <w:r>
              <w:rPr>
                <w:rFonts w:ascii="Arial" w:hAnsi="Arial"/>
                <w:b/>
                <w:color w:val="FFFFFF"/>
                <w:sz w:val="28"/>
              </w:rPr>
              <w:t>Platform Infrastructure</w:t>
            </w:r>
          </w:p>
          <w:p>
            <w:r>
              <w:rPr>
                <w:rFonts w:ascii="Arial" w:hAnsi="Arial"/>
                <w:color w:val="CCE4FF"/>
                <w:sz w:val="18"/>
              </w:rPr>
              <w:t>Timeline: Month 1–2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Objectives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Zero manual steps between purchase and first overlay URL in client hands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Widget feature flag system enabling remote feature toggle per client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Monthly widget drops that justify and reinforce the subscription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Automation Stack (Purchase → Delivery)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Stan Store purchase fires webhook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Zapier or direct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1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Webhook creates client row in Supabase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Auto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1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Bridge key auto-generated + stored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Crypto random 32-char hex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1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P0 - Critical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Welcome email sent with overlay URL + credentials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ConvertKit / MailerLite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1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Typeform intake questionnaire triggered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Auto-link in welcome email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1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Calendly booking link sent (Tier 2/3 + Custom)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Auto-link in welcome email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1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Notion build queue row auto-created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Zapier → Notion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2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Widget Roadmap (Monthly Drops)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Widget #1: Break Roulette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Spin-wheel team randomizer with animation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3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Widget #2: Countdown Timer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Configurable pack-open / break-start timer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1 Wk 4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Widget #3: Buyer Spotlight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Animated sale callout on SSE event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2 Wk 1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Widget #4: Revenue Tracker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Live break total display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2 Wk 3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Widget #5: Hype Meter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Viewer interaction engagement bar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3 Wk 1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P3 - Low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Email Sequence (Post-Purchase)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Day 0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Welcome email: credentials + setup guide + booking link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Day 7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Check-in: setup going okay? Offer support session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Day 14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Upsell: Stream OS Pro — see your break analytics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Day 30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Review request: 5-star + video testimonial ask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Day 45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Referral: send a fellow breaker + earn $X credit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12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5803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PHASE 3  </w:t>
            </w:r>
            <w:r>
              <w:rPr>
                <w:rFonts w:ascii="Arial" w:hAnsi="Arial"/>
                <w:b/>
                <w:color w:val="FFFFFF"/>
                <w:sz w:val="28"/>
              </w:rPr>
              <w:t>Client Analytics Dashboard</w:t>
            </w:r>
          </w:p>
          <w:p>
            <w:r>
              <w:rPr>
                <w:rFonts w:ascii="Arial" w:hAnsi="Arial"/>
                <w:color w:val="CCE4FF"/>
                <w:sz w:val="18"/>
              </w:rPr>
              <w:t>Timeline: Month 2–3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Objectives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Give Stream OS Pro subscribers ($197/mo) a break analytics dashboard — first of its kind for card break sellers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Justify the Pro subscription upgrade from every $97/mo subscriber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Begin building the data moat that makes the AI layer (Phase 4) possible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Dashboard Views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Break History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All sessions: date, sport, teams sold, duration, break ID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2 Wk 2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Revenue Analytics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Revenue per break, by sport, trend over 30/60/90 days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2 Wk 2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Widget Manager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Toggle active features on/off (admin-controlled, client-visible)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2 Wk 3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Buyer Insights (Phase 4 preview)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Top buyers, repeat rate, spending trends — Phase 4 data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4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</w:tr>
    </w:tbl>
    <w:p>
      <w:pPr>
        <w:spacing w:after="12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2410C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PHASE 4  </w:t>
            </w:r>
            <w:r>
              <w:rPr>
                <w:rFonts w:ascii="Arial" w:hAnsi="Arial"/>
                <w:b/>
                <w:color w:val="FFFFFF"/>
                <w:sz w:val="28"/>
              </w:rPr>
              <w:t>AI Business Intelligence Layer</w:t>
            </w:r>
          </w:p>
          <w:p>
            <w:r>
              <w:rPr>
                <w:rFonts w:ascii="Arial" w:hAnsi="Arial"/>
                <w:color w:val="CCE4FF"/>
                <w:sz w:val="18"/>
              </w:rPr>
              <w:t>Timeline: Month 4+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Objectives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Convert TSU from a platform into an AI-powered business advisor for card break sellers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Make the data collected since Phase 1 work for each client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Launch TSU Inner Circle — the premium coaching + AI insights tier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AI Capabilities (Claude API + Supabase data)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Break pattern analysis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Best days/times for each client based on historical performance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4 Wk 2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Sport margin comparison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Which sports are most profitable for this specific client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4 Wk 2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Pricing recommendations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Compare per-slot pricing against comparable sellers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4 Wk 3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Buyer pattern analysis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Top 20% buyers, repeat rate, churn signals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4 Wk 3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P2 - Medium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Monthly AI digest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Auto-generated monthly business summary per client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Month 5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P1 - High</w:t>
            </w:r>
          </w:p>
        </w:tc>
      </w:tr>
    </w:tbl>
    <w:p>
      <w:pPr>
        <w:spacing w:after="12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BE185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PHASE 5  </w:t>
            </w:r>
            <w:r>
              <w:rPr>
                <w:rFonts w:ascii="Arial" w:hAnsi="Arial"/>
                <w:b/>
                <w:color w:val="FFFFFF"/>
                <w:sz w:val="28"/>
              </w:rPr>
              <w:t>Marketing &amp; Launch</w:t>
            </w:r>
          </w:p>
          <w:p>
            <w:r>
              <w:rPr>
                <w:rFonts w:ascii="Arial" w:hAnsi="Arial"/>
                <w:color w:val="CCE4FF"/>
                <w:sz w:val="18"/>
              </w:rPr>
              <w:t>Timeline: Week 2–4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Landing Page Structure (Hormozi Flow)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1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Pain Hook (above fold): "Your card break stream is losing buyers right now"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2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Agitate: missing tiles, no automation, losing to pro-looking competitors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3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Dream Outcome: "Imagine going live and chat asks what overlay is that?"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4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Live Demo: interactive overlay iframe — show SSE automation in real time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5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Social Proof: 60+ builds stat, written reviews, video testimonials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6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Offer Stack: all 4 tiers + bonus stack ($538 value shown + crossed out)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7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Guarantee: full-width block, stands alone, conversion multiplier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8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Scarcity: 5 spots this week + founding member window closing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Section 9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FAQ + Final CTA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90-Minute Launch Stream Script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0–15 min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Value delivery: "Why your stream is costing you sales right now"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15–30 min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Live overlay demo: show SSE automation selling a team tile in real time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30–45 min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New packages + bonus stack reveal ($538 in bonuses)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45–55 min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Guarantee reveal + live objection handling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55–60 min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Open cart: "5 spots this week" scarcity + founding member pricing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60–85 min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Live Q&amp;A while cart is open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85–90 min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Final countdown + bonus expiration close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80"/>
        <w:pBdr>
          <w:bottom w:val="single" w:sz="8" w:space="4" w:color="006EC9"/>
        </w:pBdr>
      </w:pPr>
      <w:r>
        <w:rPr>
          <w:rFonts w:ascii="Arial" w:hAnsi="Arial"/>
          <w:b/>
          <w:color w:val="1C2B3A"/>
          <w:sz w:val="30"/>
        </w:rPr>
        <w:t>5.  Technical Architecture Overview</w:t>
      </w:r>
    </w:p>
    <w:p>
      <w:pPr>
        <w:spacing w:before="0" w:after="120"/>
      </w:pPr>
      <w:r>
        <w:rPr>
          <w:rFonts w:ascii="Arial" w:hAnsi="Arial"/>
          <w:b w:val="0"/>
          <w:i w:val="0"/>
          <w:sz w:val="20"/>
        </w:rPr>
        <w:t>Current state → target state migration. All changes are backward-compatible during transition.</w:t>
      </w: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5.1  Current State (Problem)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N clients = N Render free services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Cold starts after 15 min inactivity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Scales linearly with cost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No central data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Manual client setup (bridge per client)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Separate DNS/env per service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Zero analytics possible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Manual onboarding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5.2  Target State (Solution)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Single Render paid dyno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Always-on, no cold starts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Flat $7/mo regardless of clients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Central Supabase DB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Multi-tenant bridge (key-isolated)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Custom domain: bridge.tradesecretsunlocked.com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Every event logged automatically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Auto-onboarding via webhook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5.3  Database Schema (Supabase)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clients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id, bridge_key, plan_tier, email, created_at, active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Client registry + auth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break_sessions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id, client_id, break_id, sport, started_at, ended_at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Break tracking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sale_events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id, session_id, team_code, listing_key, timestamp, buyer_name, amount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Every sale logged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widget_flags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client_id, widget_name, enabled, updated_at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Feature flag per client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Phase 2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Arial" w:hAnsi="Arial"/>
          <w:b/>
          <w:color w:val="006EC9"/>
          <w:sz w:val="24"/>
        </w:rPr>
        <w:t>5.4  Cost Comparison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1C2B3A"/>
            <w:tcBorders>
              <w:top w:val="single" w:sz="4" w:color="1C2B3A"/>
              <w:left w:val="single" w:sz="4" w:color="1C2B3A"/>
              <w:bottom w:val="single" w:sz="4" w:color="1C2B3A"/>
              <w:right w:val="single" w:sz="4" w:color="1C2B3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Current (10 free Render services)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10 × free (but cold starts hurt UX)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~$0/mo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Operational pain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Current (10 paid Render services)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10 × $7/mo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$70/mo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Does not scale</w:t>
            </w:r>
          </w:p>
        </w:tc>
      </w:tr>
      <w:tr>
        <w:tc>
          <w:tcPr>
            <w:tcW w:type="dxa" w:w="50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Target (1 paid + Supabase free tier)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$7/mo + $0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$7/mo</w:t>
            </w:r>
          </w:p>
        </w:tc>
        <w:tc>
          <w:tcPr>
            <w:tcW w:type="dxa" w:w="144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Scales to 500+ clients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1A1A"/>
                <w:sz w:val="17"/>
              </w:rPr>
              <w:t>Target (at scale, Redis added)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$7 + $10 Redis + $25 Supabase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$42/mo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17"/>
              </w:rPr>
              <w:t>500+ clients, full analytics</w:t>
            </w:r>
          </w:p>
        </w:tc>
      </w:tr>
    </w:tbl>
    <w:p>
      <w:pPr>
        <w:spacing w:after="12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  <w:tcBorders>
              <w:top w:val="single" w:sz="6" w:color="28A745"/>
              <w:left w:val="single" w:sz="6" w:color="28A745"/>
              <w:bottom w:val="single" w:sz="6" w:color="28A745"/>
              <w:right w:val="single" w:sz="6" w:color="28A745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7F3C"/>
                <w:sz w:val="20"/>
              </w:rPr>
              <w:t xml:space="preserve">COST IMPACT:  </w:t>
            </w:r>
            <w:r>
              <w:rPr>
                <w:rFonts w:ascii="Arial" w:hAnsi="Arial"/>
                <w:color w:val="1A1A1A"/>
                <w:sz w:val="20"/>
              </w:rPr>
              <w:t>Moving to centralized architecture at current client count (~25 active) saves approximately $168/month vs. individual paid dynos, and eliminates the cold-start UX problem for all clients on free tier. Break-even on the paid dyno happens at 1 subscriber.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8" w:space="4" w:color="006EC9"/>
        </w:pBdr>
      </w:pPr>
      <w:r>
        <w:rPr>
          <w:rFonts w:ascii="Arial" w:hAnsi="Arial"/>
          <w:b/>
          <w:color w:val="1C2B3A"/>
          <w:sz w:val="30"/>
        </w:rPr>
        <w:t>6.  Project Tracking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All 53 tasks from this plan have been created in the Notion database: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single" w:sz="6" w:color="006EC9"/>
              <w:left w:val="single" w:sz="6" w:color="006EC9"/>
              <w:bottom w:val="single" w:sz="6" w:color="006EC9"/>
              <w:right w:val="single" w:sz="6" w:color="006EC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6EC9"/>
                <w:sz w:val="20"/>
              </w:rPr>
              <w:t xml:space="preserve">NOTION:  </w:t>
            </w:r>
            <w:r>
              <w:rPr>
                <w:rFonts w:ascii="Arial" w:hAnsi="Arial"/>
                <w:color w:val="1A1A1A"/>
                <w:sz w:val="20"/>
              </w:rPr>
              <w:t>TSU Command Center → TSU Operations → Systems &amp; Projects (products) → TSU Platform Migration &amp; Growth Plan → TSU Platform Tasks database. Filter by Phase to see phase-specific views. Filter by Status = In Progress for active work.</w:t>
            </w:r>
          </w:p>
        </w:tc>
      </w:tr>
    </w:tbl>
    <w:p>
      <w:pPr>
        <w:spacing w:after="80"/>
      </w:pP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Tasks are organized by: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Phase (0 through 5)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Status (Not Started / In Progress / Blocked / Done)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Priority (P0 Critical through P3 Low)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Category (Infrastructure / Product / Offer &amp; Pricing / Marketing / Operations / Client Success)</w:t>
      </w:r>
    </w:p>
    <w:p>
      <w:pPr>
        <w:pStyle w:val="ListBullet"/>
        <w:spacing w:after="40"/>
        <w:ind w:left="288"/>
      </w:pPr>
      <w:r>
        <w:rPr>
          <w:rFonts w:ascii="Arial" w:hAnsi="Arial"/>
          <w:color w:val="1A1A1A"/>
          <w:sz w:val="20"/>
        </w:rPr>
        <w:t>Target Week (Week 1 through Month 4+)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Trade Secrets Unlocked — Internal Strategy Document  |  v1.0  |  May 2026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