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Posts as Events: Intraday Cryptocurrency Volatility Around a Head of State’s Social-Media Communications</w:t>
      </w:r>
    </w:p>
    <w:p>
      <w:pPr>
        <w:pStyle w:val="Author"/>
      </w:pPr>
      <w:r>
        <w:t xml:space="preserve">[Author name and affiliation — to complete]</w:t>
      </w:r>
    </w:p>
    <w:p>
      <w:pPr>
        <w:pStyle w:val="Date"/>
      </w:pPr>
      <w:r>
        <w:t xml:space="preserve">June 2026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study whether the social-media communications of a sitting head of state carry</w:t>
      </w:r>
      <w:r>
        <w:t xml:space="preserve"> </w:t>
      </w:r>
      <w:r>
        <w:t xml:space="preserve">short-horizon, market-relevant information for cryptocurrency markets. Using the</w:t>
      </w:r>
      <w:r>
        <w:t xml:space="preserve"> </w:t>
      </w:r>
      <w:r>
        <w:t xml:space="preserve">full corpus of 33,712 Truth Social posts by Donald J. Trump (February 2022 – June</w:t>
      </w:r>
      <w:r>
        <w:t xml:space="preserve"> </w:t>
      </w:r>
      <w:r>
        <w:t xml:space="preserve">2026) and hourly prices for Bitcoin, Ethereum and Solana, we construct a</w:t>
      </w:r>
      <w:r>
        <w:t xml:space="preserve"> </w:t>
      </w:r>
      <w:r>
        <w:t xml:space="preserve">text-only event signal — combining a financial-domain sentiment model, a</w:t>
      </w:r>
      <w:r>
        <w:t xml:space="preserve"> </w:t>
      </w:r>
      <w:r>
        <w:t xml:space="preserve">large-language-model market-impact stance read, a keyword topic taxonomy and a</w:t>
      </w:r>
      <w:r>
        <w:t xml:space="preserve"> </w:t>
      </w:r>
      <w:r>
        <w:t xml:space="preserve">causal novelty score — and conduct a burst-level event study. We find that</w:t>
      </w:r>
      <w:r>
        <w:t xml:space="preserve"> </w:t>
      </w:r>
      <w:r>
        <w:t xml:space="preserve">market-relevant posts are followed by a modest but robust increase in 1–4 hour</w:t>
      </w:r>
      <w:r>
        <w:t xml:space="preserve"> </w:t>
      </w:r>
      <w:r>
        <w:rPr>
          <w:b/>
          <w:bCs/>
        </w:rPr>
        <w:t xml:space="preserve">realised volatility</w:t>
      </w:r>
      <w:r>
        <w:t xml:space="preserve"> </w:t>
      </w:r>
      <w:r>
        <w:t xml:space="preserve">(Bitcoin: +5.2 bp over four hours, day-clustered</w:t>
      </w:r>
      <w:r>
        <w:t xml:space="preserve"> </w:t>
      </w:r>
      <w:r>
        <w:t xml:space="preserve">regression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0.007), which survives a null matched on the prevailing</w:t>
      </w:r>
      <w:r>
        <w:t xml:space="preserve"> </w:t>
      </w:r>
      <w:r>
        <w:t xml:space="preserve">volatility regime and, critically, is</w:t>
      </w:r>
      <w:r>
        <w:t xml:space="preserve"> </w:t>
      </w:r>
      <w:r>
        <w:rPr>
          <w:b/>
          <w:bCs/>
        </w:rPr>
        <w:t xml:space="preserve">absent for the same author’s</w:t>
      </w:r>
      <w:r>
        <w:rPr>
          <w:b/>
          <w:bCs/>
        </w:rPr>
        <w:t xml:space="preserve"> </w:t>
      </w:r>
      <w:r>
        <w:rPr>
          <w:b/>
          <w:bCs/>
        </w:rPr>
        <w:t xml:space="preserve">non-market-relevant posts</w:t>
      </w:r>
      <w:r>
        <w:t xml:space="preserve"> </w:t>
      </w:r>
      <w:r>
        <w:t xml:space="preserve">(a content placebo run on five times as many events).</w:t>
      </w:r>
      <w:r>
        <w:t xml:space="preserve"> </w:t>
      </w:r>
      <w:r>
        <w:t xml:space="preserve">The effect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extend to 24 hours (that horizon is consistent with</w:t>
      </w:r>
      <w:r>
        <w:t xml:space="preserve"> </w:t>
      </w:r>
      <w:r>
        <w:t xml:space="preserve">ordinary volatility clustering)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translate into predictable</w:t>
      </w:r>
      <w:r>
        <w:t xml:space="preserve"> </w:t>
      </w:r>
      <w:r>
        <w:t xml:space="preserve">return</w:t>
      </w:r>
      <w:r>
        <w:t xml:space="preserve"> </w:t>
      </w:r>
      <w:r>
        <w:rPr>
          <w:i/>
          <w:iCs/>
        </w:rPr>
        <w:t xml:space="preserve">direction</w:t>
      </w:r>
      <w:r>
        <w:t xml:space="preserve">: neither the directional signal nor any post-event trading rule</w:t>
      </w:r>
      <w:r>
        <w:t xml:space="preserve"> </w:t>
      </w:r>
      <w:r>
        <w:t xml:space="preserve">produces a tradeable edge net of transaction costs, a null that is robust to using</w:t>
      </w:r>
      <w:r>
        <w:t xml:space="preserve"> </w:t>
      </w:r>
      <w:r>
        <w:t xml:space="preserve">a sentiment model whose training predates the events. A small class of explicit</w:t>
      </w:r>
      <w:r>
        <w:t xml:space="preserve"> </w:t>
      </w:r>
      <w:r>
        <w:t xml:space="preserve">“market-directive”</w:t>
      </w:r>
      <w:r>
        <w:t xml:space="preserve"> </w:t>
      </w:r>
      <w:r>
        <w:t xml:space="preserve">posts — including the widely reported</w:t>
      </w:r>
      <w:r>
        <w:t xml:space="preserve"> </w:t>
      </w:r>
      <w:r>
        <w:t xml:space="preserve">“THIS IS A GREAT TIME TO</w:t>
      </w:r>
      <w:r>
        <w:t xml:space="preserve"> </w:t>
      </w:r>
      <w:r>
        <w:t xml:space="preserve">BUY”</w:t>
      </w:r>
      <w:r>
        <w:t xml:space="preserve"> </w:t>
      </w:r>
      <w:r>
        <w:t xml:space="preserve">message of 9 April 2025 — preceded large rallies, but with only two such</w:t>
      </w:r>
      <w:r>
        <w:t xml:space="preserve"> </w:t>
      </w:r>
      <w:r>
        <w:t xml:space="preserve">events these are reported as a qualitative case study, not as evidence of</w:t>
      </w:r>
      <w:r>
        <w:t xml:space="preserve"> </w:t>
      </w:r>
      <w:r>
        <w:t xml:space="preserve">predictability. The contribution is methodological as much as empirical: an</w:t>
      </w:r>
      <w:r>
        <w:t xml:space="preserve"> </w:t>
      </w:r>
      <w:r>
        <w:t xml:space="preserve">intraday, full-corpus, text-only, pre-registered design with an endogenous-timing</w:t>
      </w:r>
      <w:r>
        <w:t xml:space="preserve"> </w:t>
      </w:r>
      <w:r>
        <w:t xml:space="preserve">control and a content placebo, applied to a setting (Truth Social → crypto, the</w:t>
      </w:r>
      <w:r>
        <w:t xml:space="preserve"> </w:t>
      </w:r>
      <w:r>
        <w:t xml:space="preserve">2025–26 trade-policy regime) that prior daily, hand-curated event studies do not</w:t>
      </w:r>
      <w:r>
        <w:t xml:space="preserve"> </w:t>
      </w:r>
      <w:r>
        <w:t xml:space="preserve">resolve.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event study; realised volatility; social media; cryptocurrency;</w:t>
      </w:r>
      <w:r>
        <w:t xml:space="preserve"> </w:t>
      </w:r>
      <w:r>
        <w:t xml:space="preserve">political communication; volatility clustering.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 distinctive feature of the 2025–26 market environment is that a single,</w:t>
      </w:r>
      <w:r>
        <w:t xml:space="preserve"> </w:t>
      </w:r>
      <w:r>
        <w:t xml:space="preserve">high-authority actor — the President of the United States — routinely posts</w:t>
      </w:r>
      <w:r>
        <w:t xml:space="preserve"> </w:t>
      </w:r>
      <w:r>
        <w:t xml:space="preserve">unscheduled statements on a social-media platform (Truth Social), some of which</w:t>
      </w:r>
      <w:r>
        <w:t xml:space="preserve"> </w:t>
      </w:r>
      <w:r>
        <w:t xml:space="preserve">concern, or directly precede, market-moving policy. Three episodes drew particular</w:t>
      </w:r>
      <w:r>
        <w:t xml:space="preserve"> </w:t>
      </w:r>
      <w:r>
        <w:t xml:space="preserve">public attention. On 3 March 2025 a post announcing a</w:t>
      </w:r>
      <w:r>
        <w:t xml:space="preserve"> </w:t>
      </w:r>
      <w:r>
        <w:t xml:space="preserve">“Strategic National Crypto</w:t>
      </w:r>
      <w:r>
        <w:t xml:space="preserve"> </w:t>
      </w:r>
      <w:r>
        <w:t xml:space="preserve">Reserve”</w:t>
      </w:r>
      <w:r>
        <w:t xml:space="preserve"> </w:t>
      </w:r>
      <w:r>
        <w:t xml:space="preserve">was followed by a sharp Bitcoin rally. On 9 April 2025, roughly four hours</w:t>
      </w:r>
      <w:r>
        <w:t xml:space="preserve"> </w:t>
      </w:r>
      <w:r>
        <w:t xml:space="preserve">before the announcement of a 90-day pause in reciprocal tariffs, the President</w:t>
      </w:r>
      <w:r>
        <w:t xml:space="preserve"> </w:t>
      </w:r>
      <w:r>
        <w:t xml:space="preserve">posted</w:t>
      </w:r>
      <w:r>
        <w:t xml:space="preserve"> </w:t>
      </w:r>
      <w:r>
        <w:t xml:space="preserve">“THIS IS A GREAT TIME TO BUY!!! DJT”</w:t>
      </w:r>
      <w:r>
        <w:t xml:space="preserve">; equity and crypto markets rallied</w:t>
      </w:r>
      <w:r>
        <w:t xml:space="preserve"> </w:t>
      </w:r>
      <w:r>
        <w:t xml:space="preserve">sharply that afternoon, and several legislators publicly called for</w:t>
      </w:r>
      <w:r>
        <w:t xml:space="preserve"> </w:t>
      </w:r>
      <w:r>
        <w:t xml:space="preserve">insider-trading and market-manipulation investigations. On 10 October 2025 a post</w:t>
      </w:r>
      <w:r>
        <w:t xml:space="preserve"> </w:t>
      </w:r>
      <w:r>
        <w:t xml:space="preserve">announcing 100% tariffs on China was followed by a ~12% intraday fall in Bitcoin</w:t>
      </w:r>
      <w:r>
        <w:t xml:space="preserve"> </w:t>
      </w:r>
      <w:r>
        <w:t xml:space="preserve">and the largest single-day liquidation event in the asset’s history to that point.</w:t>
      </w:r>
    </w:p>
    <w:p>
      <w:pPr>
        <w:pStyle w:val="BodyText"/>
      </w:pPr>
      <w:r>
        <w:t xml:space="preserve">These episodes raise a measurement question that this paper addresses</w:t>
      </w:r>
      <w:r>
        <w:t xml:space="preserve"> </w:t>
      </w:r>
      <w:r>
        <w:t xml:space="preserve">quantitatively and neutrally:</w:t>
      </w:r>
      <w:r>
        <w:t xml:space="preserve"> </w:t>
      </w:r>
      <w:r>
        <w:rPr>
          <w:b/>
          <w:bCs/>
        </w:rPr>
        <w:t xml:space="preserve">do this actor’s posts carry short-horizon,</w:t>
      </w:r>
      <w:r>
        <w:rPr>
          <w:b/>
          <w:bCs/>
        </w:rPr>
        <w:t xml:space="preserve"> </w:t>
      </w:r>
      <w:r>
        <w:rPr>
          <w:b/>
          <w:bCs/>
        </w:rPr>
        <w:t xml:space="preserve">market-relevant information for cryptocurrency, and if so, in what form — direction,</w:t>
      </w:r>
      <w:r>
        <w:rPr>
          <w:b/>
          <w:bCs/>
        </w:rPr>
        <w:t xml:space="preserve"> </w:t>
      </w:r>
      <w:r>
        <w:rPr>
          <w:b/>
          <w:bCs/>
        </w:rPr>
        <w:t xml:space="preserve">volatility, or neither?</w:t>
      </w:r>
      <w:r>
        <w:t xml:space="preserve"> </w:t>
      </w:r>
      <w:r>
        <w:t xml:space="preserve">We make no claim about intent; we report the public</w:t>
      </w:r>
      <w:r>
        <w:t xml:space="preserve"> </w:t>
      </w:r>
      <w:r>
        <w:t xml:space="preserve">allegations around specific posts as dated facts and study the</w:t>
      </w:r>
      <w:r>
        <w:t xml:space="preserve"> </w:t>
      </w:r>
      <w:r>
        <w:rPr>
          <w:i/>
          <w:iCs/>
        </w:rPr>
        <w:t xml:space="preserve">abnormal returns</w:t>
      </w:r>
      <w:r>
        <w:rPr>
          <w:i/>
          <w:iCs/>
        </w:rPr>
        <w:t xml:space="preserve"> </w:t>
      </w:r>
      <w:r>
        <w:rPr>
          <w:i/>
          <w:iCs/>
        </w:rPr>
        <w:t xml:space="preserve">and volatility</w:t>
      </w:r>
      <w:r>
        <w:t xml:space="preserve"> </w:t>
      </w:r>
      <w:r>
        <w:t xml:space="preserve">around posts, not the question of manipulation.</w:t>
      </w:r>
    </w:p>
    <w:p>
      <w:pPr>
        <w:pStyle w:val="BodyText"/>
      </w:pPr>
      <w:r>
        <w:t xml:space="preserve">We answer the measurement question with a burst-level event study on the full</w:t>
      </w:r>
      <w:r>
        <w:t xml:space="preserve"> </w:t>
      </w:r>
      <w:r>
        <w:t xml:space="preserve">post corpus, joined to hourly crypto prices and a daily macro panel. Three</w:t>
      </w:r>
      <w:r>
        <w:t xml:space="preserve"> </w:t>
      </w:r>
      <w:r>
        <w:t xml:space="preserve">pre-registered research questions structure the analysis: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RQ1 (volatility).</w:t>
      </w:r>
      <w:r>
        <w:t xml:space="preserve"> </w:t>
      </w:r>
      <w:r>
        <w:t xml:space="preserve">Do market-relevant post bursts predict elevated 1–4 hour</w:t>
      </w:r>
      <w:r>
        <w:t xml:space="preserve"> </w:t>
      </w:r>
      <w:r>
        <w:t xml:space="preserve">forward realised volatility</w:t>
      </w:r>
      <w:r>
        <w:t xml:space="preserve"> </w:t>
      </w:r>
      <w:r>
        <w:rPr>
          <w:i/>
          <w:iCs/>
        </w:rPr>
        <w:t xml:space="preserve">beyond</w:t>
      </w:r>
      <w:r>
        <w:t xml:space="preserve"> </w:t>
      </w:r>
      <w:r>
        <w:t xml:space="preserve">what the prevailing (trailing) volatility</w:t>
      </w:r>
      <w:r>
        <w:t xml:space="preserve"> </w:t>
      </w:r>
      <w:r>
        <w:t xml:space="preserve">already implies?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RQ2 (direction).</w:t>
      </w:r>
      <w:r>
        <w:t xml:space="preserve"> </w:t>
      </w:r>
      <w:r>
        <w:t xml:space="preserve">Does a text-derived directional signal predict the</w:t>
      </w:r>
      <w:r>
        <w:t xml:space="preserve"> </w:t>
      </w:r>
      <w:r>
        <w:rPr>
          <w:i/>
          <w:iCs/>
        </w:rPr>
        <w:t xml:space="preserve">sign</w:t>
      </w:r>
      <w:r>
        <w:t xml:space="preserve"> </w:t>
      </w:r>
      <w:r>
        <w:t xml:space="preserve">of forward returns?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RQ3 (tradeable edge).</w:t>
      </w:r>
      <w:r>
        <w:t xml:space="preserve"> </w:t>
      </w:r>
      <w:r>
        <w:t xml:space="preserve">Does a post-event trading rule beat zero net of</w:t>
      </w:r>
      <w:r>
        <w:t xml:space="preserve"> </w:t>
      </w:r>
      <w:r>
        <w:t xml:space="preserve">realistic transaction costs out of sample?</w:t>
      </w:r>
    </w:p>
    <w:p>
      <w:pPr>
        <w:pStyle w:val="FirstParagraph"/>
      </w:pPr>
      <w:r>
        <w:t xml:space="preserve">Our answers are: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(modest, robust, content-specific) to RQ1;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to RQ2</w:t>
      </w:r>
      <w:r>
        <w:t xml:space="preserve"> </w:t>
      </w:r>
      <w:r>
        <w:t xml:space="preserve">and RQ3. The most defensible single sentence is that</w:t>
      </w:r>
      <w:r>
        <w:t xml:space="preserve"> </w:t>
      </w:r>
      <w:r>
        <w:rPr>
          <w:i/>
          <w:iCs/>
        </w:rPr>
        <w:t xml:space="preserve">market-relevant posts move</w:t>
      </w:r>
      <w:r>
        <w:rPr>
          <w:i/>
          <w:iCs/>
        </w:rPr>
        <w:t xml:space="preserve"> </w:t>
      </w:r>
      <w:r>
        <w:rPr>
          <w:i/>
          <w:iCs/>
        </w:rPr>
        <w:t xml:space="preserve">how much crypto moves over the next few hours, not which way, and not by enough to</w:t>
      </w:r>
      <w:r>
        <w:rPr>
          <w:i/>
          <w:iCs/>
        </w:rPr>
        <w:t xml:space="preserve"> </w:t>
      </w:r>
      <w:r>
        <w:rPr>
          <w:i/>
          <w:iCs/>
        </w:rPr>
        <w:t xml:space="preserve">trade after costs.</w:t>
      </w:r>
    </w:p>
    <w:p>
      <w:pPr>
        <w:pStyle w:val="BodyText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Relative to the closest prior work (Section 2), which conducts</w:t>
      </w:r>
      <w:r>
        <w:t xml:space="preserve"> </w:t>
      </w:r>
      <w:r>
        <w:rPr>
          <w:i/>
          <w:iCs/>
        </w:rPr>
        <w:t xml:space="preserve">daily</w:t>
      </w:r>
      <w:r>
        <w:t xml:space="preserve"> </w:t>
      </w:r>
      <w:r>
        <w:t xml:space="preserve">event studies on</w:t>
      </w:r>
      <w:r>
        <w:t xml:space="preserve"> </w:t>
      </w:r>
      <w:r>
        <w:rPr>
          <w:i/>
          <w:iCs/>
        </w:rPr>
        <w:t xml:space="preserve">hand-curated</w:t>
      </w:r>
      <w:r>
        <w:t xml:space="preserve"> </w:t>
      </w:r>
      <w:r>
        <w:t xml:space="preserve">policy-event lists, we contribute: (i) an</w:t>
      </w:r>
      <w:r>
        <w:t xml:space="preserve"> </w:t>
      </w:r>
      <w:r>
        <w:rPr>
          <w:b/>
          <w:bCs/>
        </w:rPr>
        <w:t xml:space="preserve">intraday</w:t>
      </w:r>
      <w:r>
        <w:t xml:space="preserve"> </w:t>
      </w:r>
      <w:r>
        <w:t xml:space="preserve">(1/4/24-hour) design that resolves an effect invisible at daily</w:t>
      </w:r>
      <w:r>
        <w:t xml:space="preserve"> </w:t>
      </w:r>
      <w:r>
        <w:t xml:space="preserve">resolution; (ii) a</w:t>
      </w:r>
      <w:r>
        <w:t xml:space="preserve"> </w:t>
      </w:r>
      <w:r>
        <w:rPr>
          <w:b/>
          <w:bCs/>
        </w:rPr>
        <w:t xml:space="preserve">systematic, text-only classification of the entire 33k-post</w:t>
      </w:r>
      <w:r>
        <w:rPr>
          <w:b/>
          <w:bCs/>
        </w:rPr>
        <w:t xml:space="preserve"> </w:t>
      </w:r>
      <w:r>
        <w:rPr>
          <w:b/>
          <w:bCs/>
        </w:rPr>
        <w:t xml:space="preserve">corpus</w:t>
      </w:r>
      <w:r>
        <w:t xml:space="preserve"> </w:t>
      </w:r>
      <w:r>
        <w:t xml:space="preserve">rather than a curated event list, removing event-selection discretion;</w:t>
      </w:r>
      <w:r>
        <w:t xml:space="preserve"> </w:t>
      </w:r>
      <w:r>
        <w:t xml:space="preserve">(iii) an explicit</w:t>
      </w:r>
      <w:r>
        <w:t xml:space="preserve"> </w:t>
      </w:r>
      <w:r>
        <w:rPr>
          <w:b/>
          <w:bCs/>
        </w:rPr>
        <w:t xml:space="preserve">endogenous-timing control</w:t>
      </w:r>
      <w:r>
        <w:t xml:space="preserve"> </w:t>
      </w:r>
      <w:r>
        <w:t xml:space="preserve">— matching the comparison set on</w:t>
      </w:r>
      <w:r>
        <w:t xml:space="preserve"> </w:t>
      </w:r>
      <w:r>
        <w:t xml:space="preserve">prevailing volatility, because a high-profile actor may post precisely when</w:t>
      </w:r>
      <w:r>
        <w:t xml:space="preserve"> </w:t>
      </w:r>
      <w:r>
        <w:t xml:space="preserve">markets are already moving; and (iv) a</w:t>
      </w:r>
      <w:r>
        <w:t xml:space="preserve"> </w:t>
      </w:r>
      <w:r>
        <w:rPr>
          <w:b/>
          <w:bCs/>
        </w:rPr>
        <w:t xml:space="preserve">content placebo</w:t>
      </w:r>
      <w:r>
        <w:t xml:space="preserve"> </w:t>
      </w:r>
      <w:r>
        <w:t xml:space="preserve">that isolates whether</w:t>
      </w:r>
      <w:r>
        <w:t xml:space="preserve"> </w:t>
      </w:r>
      <w:r>
        <w:t xml:space="preserve">the effect is about market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or merely about the act of posting. We frame</w:t>
      </w:r>
      <w:r>
        <w:t xml:space="preserve"> </w:t>
      </w:r>
      <w:r>
        <w:t xml:space="preserve">the study as exploratory/observational; the data — a single dominant policy</w:t>
      </w:r>
      <w:r>
        <w:t xml:space="preserve"> </w:t>
      </w:r>
      <w:r>
        <w:t xml:space="preserve">regime, two directive-class events, and crypto assets that co-move at ~0.92 —</w:t>
      </w:r>
      <w:r>
        <w:t xml:space="preserve"> </w:t>
      </w:r>
      <w:r>
        <w:t xml:space="preserve">cannot bear strong-confirmatory claims, and we say so throughout.</w:t>
      </w:r>
    </w:p>
    <w:p>
      <w:r>
        <w:pict>
          <v:rect style="width:0;height:1.5pt" o:hralign="center" o:hrstd="t" o:hr="t"/>
        </w:pic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Trump communications and market volatility.</w:t>
      </w:r>
      <w:r>
        <w:t xml:space="preserve"> </w:t>
      </w:r>
      <w:r>
        <w:t xml:space="preserve">A mature literature studies the</w:t>
      </w:r>
      <w:r>
        <w:t xml:space="preserve"> </w:t>
      </w:r>
      <w:r>
        <w:t xml:space="preserve">president’s</w:t>
      </w:r>
      <w:r>
        <w:t xml:space="preserve"> </w:t>
      </w:r>
      <w:r>
        <w:rPr>
          <w:i/>
          <w:iCs/>
        </w:rPr>
        <w:t xml:space="preserve">Twitter</w:t>
      </w:r>
      <w:r>
        <w:t xml:space="preserve"> </w:t>
      </w:r>
      <w:r>
        <w:t xml:space="preserve">output and</w:t>
      </w:r>
      <w:r>
        <w:t xml:space="preserve"> </w:t>
      </w:r>
      <w:r>
        <w:rPr>
          <w:i/>
          <w:iCs/>
        </w:rPr>
        <w:t xml:space="preserve">equity/bond</w:t>
      </w:r>
      <w:r>
        <w:t xml:space="preserve"> </w:t>
      </w:r>
      <w:r>
        <w:t xml:space="preserve">markets. Nishimura, Dong &amp; Sun</w:t>
      </w:r>
      <w:r>
        <w:t xml:space="preserve"> </w:t>
      </w:r>
      <w:r>
        <w:t xml:space="preserve">(2021,</w:t>
      </w:r>
      <w:r>
        <w:t xml:space="preserve"> </w:t>
      </w:r>
      <w:r>
        <w:rPr>
          <w:i/>
          <w:iCs/>
        </w:rPr>
        <w:t xml:space="preserve">Journal of Financial Research</w:t>
      </w:r>
      <w:r>
        <w:t xml:space="preserve">) study the second-moment response of US</w:t>
      </w:r>
      <w:r>
        <w:t xml:space="preserve"> </w:t>
      </w:r>
      <w:r>
        <w:t xml:space="preserve">equities to Trump tweets using daily realised volatility decomposed into</w:t>
      </w:r>
      <w:r>
        <w:t xml:space="preserve"> </w:t>
      </w:r>
      <w:r>
        <w:t xml:space="preserve">continuous and jump components, finding that tweeting raises volatility and jump</w:t>
      </w:r>
      <w:r>
        <w:t xml:space="preserve"> </w:t>
      </w:r>
      <w:r>
        <w:t xml:space="preserve">tail-risk in the later sample. The practitioner</w:t>
      </w:r>
      <w:r>
        <w:t xml:space="preserve"> </w:t>
      </w:r>
      <w:r>
        <w:t xml:space="preserve">“Volfefe Index”</w:t>
      </w:r>
      <w:r>
        <w:t xml:space="preserve"> </w:t>
      </w:r>
      <w:r>
        <w:t xml:space="preserve">(JPMorgan, 2019)</w:t>
      </w:r>
      <w:r>
        <w:t xml:space="preserve"> </w:t>
      </w:r>
      <w:r>
        <w:t xml:space="preserve">linked tweets to intraday Treasury-rate volatility; its citable academic anchor,</w:t>
      </w:r>
      <w:r>
        <w:t xml:space="preserve"> </w:t>
      </w:r>
      <w:r>
        <w:t xml:space="preserve">Klaus &amp; Koser (2021,</w:t>
      </w:r>
      <w:r>
        <w:t xml:space="preserve"> </w:t>
      </w:r>
      <w:r>
        <w:rPr>
          <w:i/>
          <w:iCs/>
        </w:rPr>
        <w:t xml:space="preserve">Finance Research Letters</w:t>
      </w:r>
      <w:r>
        <w:t xml:space="preserve">), finds the index adds predictive</w:t>
      </w:r>
      <w:r>
        <w:t xml:space="preserve"> </w:t>
      </w:r>
      <w:r>
        <w:t xml:space="preserve">power for European equity returns, heterogeneously and non-linearly. Born, Myers</w:t>
      </w:r>
      <w:r>
        <w:t xml:space="preserve"> </w:t>
      </w:r>
      <w:r>
        <w:t xml:space="preserve">&amp; Clark (2017,</w:t>
      </w:r>
      <w:r>
        <w:t xml:space="preserve"> </w:t>
      </w:r>
      <w:r>
        <w:rPr>
          <w:i/>
          <w:iCs/>
        </w:rPr>
        <w:t xml:space="preserve">Algorithmic Finance</w:t>
      </w:r>
      <w:r>
        <w:t xml:space="preserve">) run a daily firm-level event study on 15</w:t>
      </w:r>
      <w:r>
        <w:t xml:space="preserve"> </w:t>
      </w:r>
      <w:r>
        <w:t xml:space="preserve">tweets, finding transitory, noise-trader-driven abnormal returns. On the</w:t>
      </w:r>
      <w:r>
        <w:t xml:space="preserve"> </w:t>
      </w:r>
      <w:r>
        <w:t xml:space="preserve">trade-war channel specifically, Burggraf, Fendel &amp; Huynh (2020,</w:t>
      </w:r>
      <w:r>
        <w:t xml:space="preserve"> </w:t>
      </w:r>
      <w:r>
        <w:rPr>
          <w:i/>
          <w:iCs/>
        </w:rPr>
        <w:t xml:space="preserve">Applied Economics</w:t>
      </w:r>
      <w:r>
        <w:rPr>
          <w:i/>
          <w:iCs/>
        </w:rPr>
        <w:t xml:space="preserve"> </w:t>
      </w:r>
      <w:r>
        <w:rPr>
          <w:i/>
          <w:iCs/>
        </w:rPr>
        <w:t xml:space="preserve">Letters</w:t>
      </w:r>
      <w:r>
        <w:t xml:space="preserve">) find US–China tweets negatively predict the S&amp;P 500 and positively</w:t>
      </w:r>
      <w:r>
        <w:t xml:space="preserve"> </w:t>
      </w:r>
      <w:r>
        <w:t xml:space="preserve">predict the VIX. Two studies move toward our intraday, topic-classified design:</w:t>
      </w:r>
      <w:r>
        <w:t xml:space="preserve"> </w:t>
      </w:r>
      <w:r>
        <w:t xml:space="preserve">Gjerstad et al. (2021,</w:t>
      </w:r>
      <w:r>
        <w:t xml:space="preserve"> </w:t>
      </w:r>
      <w:r>
        <w:rPr>
          <w:i/>
          <w:iCs/>
        </w:rPr>
        <w:t xml:space="preserve">Decision Support Systems</w:t>
      </w:r>
      <w:r>
        <w:t xml:space="preserve">) use precise tweet timestamps</w:t>
      </w:r>
      <w:r>
        <w:t xml:space="preserve"> </w:t>
      </w:r>
      <w:r>
        <w:t xml:space="preserve">with high-frequency equity data and LDA topics, finding the market falls and</w:t>
      </w:r>
      <w:r>
        <w:t xml:space="preserve"> </w:t>
      </w:r>
      <w:r>
        <w:t xml:space="preserve">uncertainty rises after tweets, strongest for the</w:t>
      </w:r>
      <w:r>
        <w:t xml:space="preserve"> </w:t>
      </w:r>
      <w:r>
        <w:t xml:space="preserve">“trade war”</w:t>
      </w:r>
      <w:r>
        <w:t xml:space="preserve"> </w:t>
      </w:r>
      <w:r>
        <w:t xml:space="preserve">topic; and Perico</w:t>
      </w:r>
      <w:r>
        <w:t xml:space="preserve"> </w:t>
      </w:r>
      <w:r>
        <w:t xml:space="preserve">Ortiz (2023,</w:t>
      </w:r>
      <w:r>
        <w:t xml:space="preserve"> </w:t>
      </w:r>
      <w:r>
        <w:rPr>
          <w:i/>
          <w:iCs/>
        </w:rPr>
        <w:t xml:space="preserve">Journal of Economics and Finance</w:t>
      </w:r>
      <w:r>
        <w:t xml:space="preserve">) runs an intraday VIX event study</w:t>
      </w:r>
      <w:r>
        <w:t xml:space="preserve"> </w:t>
      </w:r>
      <w:r>
        <w:t xml:space="preserve">(5-minute bars, to five hours post-tweet) with unsupervised topic clustering,</w:t>
      </w:r>
      <w:r>
        <w:t xml:space="preserve"> </w:t>
      </w:r>
      <w:r>
        <w:t xml:space="preserve">finding foreign-policy/trade tweets raise uncertainty most. This literature is</w:t>
      </w:r>
      <w:r>
        <w:t xml:space="preserve"> </w:t>
      </w:r>
      <w:r>
        <w:rPr>
          <w:i/>
          <w:iCs/>
        </w:rPr>
        <w:t xml:space="preserve">Twitter + equities/bonds, first term</w:t>
      </w:r>
      <w:r>
        <w:t xml:space="preserve">; we are</w:t>
      </w:r>
      <w:r>
        <w:t xml:space="preserve"> </w:t>
      </w:r>
      <w:r>
        <w:rPr>
          <w:i/>
          <w:iCs/>
        </w:rPr>
        <w:t xml:space="preserve">Truth Social + crypto, 2022–26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Trump and crypto.</w:t>
      </w:r>
      <w:r>
        <w:t xml:space="preserve"> </w:t>
      </w:r>
      <w:r>
        <w:t xml:space="preserve">The closest direct work is a cluster of SSRN working papers</w:t>
      </w:r>
      <w:r>
        <w:t xml:space="preserve"> </w:t>
      </w:r>
      <w:r>
        <w:t xml:space="preserve">by Krause (2025) — e.g.,</w:t>
      </w:r>
      <w:r>
        <w:t xml:space="preserve"> </w:t>
      </w:r>
      <w:r>
        <w:rPr>
          <w:i/>
          <w:iCs/>
        </w:rPr>
        <w:t xml:space="preserve">Trump-Era Cryptocurrency Policy Events and Bitcoin</w:t>
      </w:r>
      <w:r>
        <w:rPr>
          <w:i/>
          <w:iCs/>
        </w:rPr>
        <w:t xml:space="preserve"> </w:t>
      </w:r>
      <w:r>
        <w:rPr>
          <w:i/>
          <w:iCs/>
        </w:rPr>
        <w:t xml:space="preserve">Returns</w:t>
      </w:r>
      <w:r>
        <w:t xml:space="preserve">,</w:t>
      </w:r>
      <w:r>
        <w:t xml:space="preserve"> </w:t>
      </w:r>
      <w:r>
        <w:rPr>
          <w:i/>
          <w:iCs/>
        </w:rPr>
        <w:t xml:space="preserve">Trump, Tokens, and Tailwinds</w:t>
      </w:r>
      <w:r>
        <w:t xml:space="preserve">,</w:t>
      </w:r>
      <w:r>
        <w:t xml:space="preserve"> </w:t>
      </w:r>
      <w:r>
        <w:rPr>
          <w:i/>
          <w:iCs/>
        </w:rPr>
        <w:t xml:space="preserve">Tariffs, Tokens, and Turmoil</w:t>
      </w:r>
      <w:r>
        <w:t xml:space="preserve"> </w:t>
      </w:r>
      <w:r>
        <w:t xml:space="preserve">— which</w:t>
      </w:r>
      <w:r>
        <w:t xml:space="preserve"> </w:t>
      </w:r>
      <w:r>
        <w:t xml:space="preserve">conduct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event studies on</w:t>
      </w:r>
      <w:r>
        <w:t xml:space="preserve"> </w:t>
      </w:r>
      <w:r>
        <w:rPr>
          <w:b/>
          <w:bCs/>
        </w:rPr>
        <w:t xml:space="preserve">hand-curated</w:t>
      </w:r>
      <w:r>
        <w:t xml:space="preserve"> </w:t>
      </w:r>
      <w:r>
        <w:t xml:space="preserve">policy/advocacy events, with</w:t>
      </w:r>
      <w:r>
        <w:t xml:space="preserve"> </w:t>
      </w:r>
      <w:r>
        <w:t xml:space="preserve">multi-day cumulative-abnormal-return windows. We differ on four axes</w:t>
      </w:r>
      <w:r>
        <w:t xml:space="preserve"> </w:t>
      </w:r>
      <w:r>
        <w:t xml:space="preserve">(intraday resolution; full-corpus systematic classification rather than curated</w:t>
      </w:r>
      <w:r>
        <w:t xml:space="preserve"> </w:t>
      </w:r>
      <w:r>
        <w:t xml:space="preserve">events; a focus on the second moment with an explicit treatment of volatility</w:t>
      </w:r>
      <w:r>
        <w:t xml:space="preserve"> </w:t>
      </w:r>
      <w:r>
        <w:rPr>
          <w:i/>
          <w:iCs/>
        </w:rPr>
        <w:t xml:space="preserve">clustering</w:t>
      </w:r>
      <w:r>
        <w:t xml:space="preserve">; and an endogenous-timing-matched null). We therefore do not claim</w:t>
      </w:r>
      <w:r>
        <w:t xml:space="preserve"> </w:t>
      </w:r>
      <w:r>
        <w:t xml:space="preserve">to be the first study of Trump and crypto; our novelty is the</w:t>
      </w:r>
      <w:r>
        <w:t xml:space="preserve"> </w:t>
      </w:r>
      <w:r>
        <w:rPr>
          <w:i/>
          <w:iCs/>
        </w:rPr>
        <w:t xml:space="preserve">joint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these design choices in this regime.</w:t>
      </w:r>
    </w:p>
    <w:p>
      <w:pPr>
        <w:pStyle w:val="BodyText"/>
      </w:pPr>
      <w:r>
        <w:rPr>
          <w:b/>
          <w:bCs/>
        </w:rPr>
        <w:t xml:space="preserve">Social-media sentiment and crypto.</w:t>
      </w:r>
      <w:r>
        <w:t xml:space="preserve"> </w:t>
      </w:r>
      <w:r>
        <w:t xml:space="preserve">A broad literature relates aggregate</w:t>
      </w:r>
      <w:r>
        <w:t xml:space="preserve"> </w:t>
      </w:r>
      <w:r>
        <w:t xml:space="preserve">Twitter sentiment to crypto returns, volatility and liquidity, and documents that</w:t>
      </w:r>
      <w:r>
        <w:t xml:space="preserve"> </w:t>
      </w:r>
      <w:r>
        <w:t xml:space="preserve">single high-profile actors (e.g., Elon Musk) generate abnormal returns in named</w:t>
      </w:r>
      <w:r>
        <w:t xml:space="preserve"> </w:t>
      </w:r>
      <w:r>
        <w:t xml:space="preserve">coins. This work typically uses aggregate retail sentiment rather than a single</w:t>
      </w:r>
      <w:r>
        <w:t xml:space="preserve"> </w:t>
      </w:r>
      <w:r>
        <w:t xml:space="preserve">high-authority actor whose posts can</w:t>
      </w:r>
      <w:r>
        <w:t xml:space="preserve"> </w:t>
      </w:r>
      <w:r>
        <w:rPr>
          <w:i/>
          <w:iCs/>
        </w:rPr>
        <w:t xml:space="preserve">precede the policy they concern</w:t>
      </w:r>
      <w:r>
        <w:t xml:space="preserve"> </w:t>
      </w:r>
      <w:r>
        <w:t xml:space="preserve">— the</w:t>
      </w:r>
      <w:r>
        <w:t xml:space="preserve"> </w:t>
      </w:r>
      <w:r>
        <w:t xml:space="preserve">feature that motivates our directive case study.</w:t>
      </w:r>
    </w:p>
    <w:p>
      <w:r>
        <w:pict>
          <v:rect style="width:0;height:1.5pt" o:hralign="center" o:hrstd="t" o:hr="t"/>
        </w:pict>
      </w:r>
    </w:p>
    <w:bookmarkEnd w:id="11"/>
    <w:bookmarkStart w:id="12" w:name="data"/>
    <w:p>
      <w:pPr>
        <w:pStyle w:val="Heading2"/>
      </w:pPr>
      <w:r>
        <w:t xml:space="preserve">3. Data</w:t>
      </w:r>
    </w:p>
    <w:p>
      <w:pPr>
        <w:pStyle w:val="FirstParagraph"/>
      </w:pPr>
      <w:r>
        <w:rPr>
          <w:b/>
          <w:bCs/>
        </w:rPr>
        <w:t xml:space="preserve">Posts.</w:t>
      </w:r>
      <w:r>
        <w:t xml:space="preserve"> </w:t>
      </w:r>
      <w:r>
        <w:t xml:space="preserve">We use a pinned snapshot (33,712 posts, 14 Feb 2022 – 2 Jun 2026; SHA</w:t>
      </w:r>
      <w:r>
        <w:t xml:space="preserve"> </w:t>
      </w:r>
      <w:r>
        <w:t xml:space="preserve">recorded in the project manifest) of a public archive of</w:t>
      </w:r>
      <w:r>
        <w:t xml:space="preserve"> </w:t>
      </w:r>
      <w:r>
        <w:t xml:space="preserve">@realDonaldTrump</w:t>
      </w:r>
      <w:r>
        <w:t xml:space="preserve">’s Truth</w:t>
      </w:r>
      <w:r>
        <w:t xml:space="preserve"> </w:t>
      </w:r>
      <w:r>
        <w:t xml:space="preserve">Social posts. Each post carries an ISO-8601 UTC timestamp, HTML content,</w:t>
      </w:r>
      <w:r>
        <w:t xml:space="preserve"> </w:t>
      </w:r>
      <w:r>
        <w:t xml:space="preserve">engagement counts, and media flags. Because the upstream archive refreshes every</w:t>
      </w:r>
      <w:r>
        <w:t xml:space="preserve"> </w:t>
      </w:r>
      <w:r>
        <w:t xml:space="preserve">few minutes, all analysis runs against the frozen snapshot for reproducibility.</w:t>
      </w:r>
    </w:p>
    <w:p>
      <w:pPr>
        <w:pStyle w:val="BodyText"/>
      </w:pPr>
      <w:r>
        <w:rPr>
          <w:b/>
          <w:bCs/>
        </w:rPr>
        <w:t xml:space="preserve">Prices.</w:t>
      </w:r>
      <w:r>
        <w:t xml:space="preserve"> </w:t>
      </w:r>
      <w:r>
        <w:t xml:space="preserve">Hourly OHLCV for BTCUSDT, ETHUSDT and SOLUSDT (Binance), spanning the</w:t>
      </w:r>
      <w:r>
        <w:t xml:space="preserve"> </w:t>
      </w:r>
      <w:r>
        <w:t xml:space="preserve">post period. Bitcoin history is drawn from a local parquet lake; Ethereum and</w:t>
      </w:r>
      <w:r>
        <w:t xml:space="preserve"> </w:t>
      </w:r>
      <w:r>
        <w:t xml:space="preserve">Solana, which lack deep history in the lake, are fetched from the Binance public</w:t>
      </w:r>
      <w:r>
        <w:t xml:space="preserve"> </w:t>
      </w:r>
      <w:r>
        <w:t xml:space="preserve">REST API (same venue, so the series are consistent by construction). A daily macro</w:t>
      </w:r>
      <w:r>
        <w:t xml:space="preserve"> </w:t>
      </w:r>
      <w:r>
        <w:t xml:space="preserve">panel (DXY, gold, S&amp;P 500, Nasdaq-100, US 10-year yield, VIX, and the three crypto</w:t>
      </w:r>
      <w:r>
        <w:t xml:space="preserve"> </w:t>
      </w:r>
      <w:r>
        <w:t xml:space="preserve">assets) covers December 2024 onward.</w:t>
      </w:r>
    </w:p>
    <w:p>
      <w:pPr>
        <w:pStyle w:val="BodyText"/>
      </w:pPr>
      <w:r>
        <w:rPr>
          <w:b/>
          <w:bCs/>
        </w:rPr>
        <w:t xml:space="preserve">Event-time joins and no look-ahead.</w:t>
      </w:r>
      <w:r>
        <w:t xml:space="preserve"> </w:t>
      </w:r>
      <w:r>
        <w:t xml:space="preserve">Posts are joined to prices strictly by</w:t>
      </w:r>
      <w:r>
        <w:t xml:space="preserve"> </w:t>
      </w:r>
      <w:r>
        <w:t xml:space="preserve">their post timestamp floored to the hour; all forward returns and volatilities are</w:t>
      </w:r>
      <w:r>
        <w:t xml:space="preserve"> </w:t>
      </w:r>
      <w:r>
        <w:t xml:space="preserve">measured from that hour’s</w:t>
      </w:r>
      <w:r>
        <w:t xml:space="preserve"> </w:t>
      </w:r>
      <w:r>
        <w:rPr>
          <w:i/>
          <w:iCs/>
        </w:rPr>
        <w:t xml:space="preserve">close</w:t>
      </w:r>
      <w:r>
        <w:t xml:space="preserve"> </w:t>
      </w:r>
      <w:r>
        <w:t xml:space="preserve">onward (a conservative choice that misses the</w:t>
      </w:r>
      <w:r>
        <w:t xml:space="preserve"> </w:t>
      </w:r>
      <w:r>
        <w:t xml:space="preserve">first within-hour minutes of any reaction). We validate the join against a</w:t>
      </w:r>
      <w:r>
        <w:t xml:space="preserve"> </w:t>
      </w:r>
      <w:r>
        <w:t xml:space="preserve">ground-truth event — the</w:t>
      </w:r>
      <w:r>
        <w:t xml:space="preserve"> </w:t>
      </w:r>
      <w:r>
        <w:t xml:space="preserve">“Liberation Day”</w:t>
      </w:r>
      <w:r>
        <w:t xml:space="preserve"> </w:t>
      </w:r>
      <w:r>
        <w:t xml:space="preserve">tariff sell-off of 2–3 April 2025, in</w:t>
      </w:r>
      <w:r>
        <w:t xml:space="preserve"> </w:t>
      </w:r>
      <w:r>
        <w:t xml:space="preserve">which Bitcoin fell ~2.4% in a single evening hour — confirming that timestamps</w:t>
      </w:r>
      <w:r>
        <w:t xml:space="preserve"> </w:t>
      </w:r>
      <w:r>
        <w:t xml:space="preserve">align and that no timezone error contaminates the windows.</w:t>
      </w:r>
    </w:p>
    <w:p>
      <w:r>
        <w:pict>
          <v:rect style="width:0;height:1.5pt" o:hralign="center" o:hrstd="t" o:hr="t"/>
        </w:pict>
      </w:r>
    </w:p>
    <w:bookmarkEnd w:id="12"/>
    <w:bookmarkStart w:id="13" w:name="signal-construction-text-only"/>
    <w:p>
      <w:pPr>
        <w:pStyle w:val="Heading2"/>
      </w:pPr>
      <w:r>
        <w:t xml:space="preserve">4. Signal construction (text only)</w:t>
      </w:r>
    </w:p>
    <w:p>
      <w:pPr>
        <w:pStyle w:val="FirstParagraph"/>
      </w:pPr>
      <w:r>
        <w:t xml:space="preserve">All independent variables are computed from post text and timestamp</w:t>
      </w:r>
      <w:r>
        <w:t xml:space="preserve"> </w:t>
      </w:r>
      <w:r>
        <w:rPr>
          <w:b/>
          <w:bCs/>
        </w:rPr>
        <w:t xml:space="preserve">only</w:t>
      </w:r>
      <w:r>
        <w:t xml:space="preserve">; no</w:t>
      </w:r>
      <w:r>
        <w:t xml:space="preserve"> </w:t>
      </w:r>
      <w:r>
        <w:t xml:space="preserve">realised return ever enters a label. This is essential: a label informed by the</w:t>
      </w:r>
      <w:r>
        <w:t xml:space="preserve"> </w:t>
      </w:r>
      <w:r>
        <w:t xml:space="preserve">outcome it is meant to predict would make the analysis circular.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Topic taxonomy.</w:t>
      </w:r>
      <w:r>
        <w:t xml:space="preserve"> </w:t>
      </w:r>
      <w:r>
        <w:t xml:space="preserve">A frozen keyword taxonomy assigns each post to economic</w:t>
      </w:r>
      <w:r>
        <w:t xml:space="preserve"> </w:t>
      </w:r>
      <w:r>
        <w:t xml:space="preserve">topics (tariffs/trade, China, Fed/rates, crypto, dollar, energy, markets,</w:t>
      </w:r>
      <w:r>
        <w:t xml:space="preserve"> </w:t>
      </w:r>
      <w:r>
        <w:t xml:space="preserve">fiscal), geopolitics, and two content classes motivated by the 2025 episodes:</w:t>
      </w:r>
      <w:r>
        <w:t xml:space="preserve"> </w:t>
      </w:r>
      <w:r>
        <w:rPr>
          <w:i/>
          <w:iCs/>
        </w:rPr>
        <w:t xml:space="preserve">market-directive</w:t>
      </w:r>
      <w:r>
        <w:t xml:space="preserve"> </w:t>
      </w:r>
      <w:r>
        <w:t xml:space="preserve">(explicit buy/sell or market predictions, e.g. </w:t>
      </w:r>
      <w:r>
        <w:t xml:space="preserve">“great time</w:t>
      </w:r>
      <w:r>
        <w:t xml:space="preserve"> </w:t>
      </w:r>
      <w:r>
        <w:t xml:space="preserve">to buy”</w:t>
      </w:r>
      <w:r>
        <w:t xml:space="preserve">) and</w:t>
      </w:r>
      <w:r>
        <w:t xml:space="preserve"> </w:t>
      </w:r>
      <w:r>
        <w:rPr>
          <w:i/>
          <w:iCs/>
        </w:rPr>
        <w:t xml:space="preserve">reassurance</w:t>
      </w:r>
      <w:r>
        <w:t xml:space="preserve"> </w:t>
      </w:r>
      <w:r>
        <w:t xml:space="preserve">(</w:t>
      </w:r>
      <w:r>
        <w:t xml:space="preserve">“be cool”</w:t>
      </w:r>
      <w:r>
        <w:t xml:space="preserve">,</w:t>
      </w:r>
      <w:r>
        <w:t xml:space="preserve"> </w:t>
      </w:r>
      <w:r>
        <w:t xml:space="preserve">“don’t panic”</w:t>
      </w:r>
      <w:r>
        <w:t xml:space="preserve">). A post is</w:t>
      </w:r>
      <w:r>
        <w:t xml:space="preserve"> </w:t>
      </w:r>
      <w:r>
        <w:rPr>
          <w:i/>
          <w:iCs/>
        </w:rPr>
        <w:t xml:space="preserve">market-relevant</w:t>
      </w:r>
      <w:r>
        <w:t xml:space="preserve"> </w:t>
      </w:r>
      <w:r>
        <w:t xml:space="preserve">if it hits any economic topic (≈8% of posts).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sentiment.</w:t>
      </w:r>
      <w:r>
        <w:t xml:space="preserve"> </w:t>
      </w:r>
      <w:r>
        <w:t xml:space="preserve">FinBERT (ProsusAI/finbert) yields class probabilities;</w:t>
      </w:r>
      <w:r>
        <w:t xml:space="preserve"> </w:t>
      </w:r>
      <w:r>
        <w:rPr>
          <w:rStyle w:val="VerbatimChar"/>
        </w:rPr>
        <w:t xml:space="preserve">finbert_score = P(pos) − P(neg)</w:t>
      </w:r>
      <w:r>
        <w:t xml:space="preserve">. On market-relevant posts this averages −0.01,</w:t>
      </w:r>
      <w:r>
        <w:t xml:space="preserve"> </w:t>
      </w:r>
      <w:r>
        <w:t xml:space="preserve">versus +0.37 for a generic lexical sentiment model (VADER) — i.e. the</w:t>
      </w:r>
      <w:r>
        <w:t xml:space="preserve"> </w:t>
      </w:r>
      <w:r>
        <w:t xml:space="preserve">domain model removes a strong positive bias driven by the author’s</w:t>
      </w:r>
      <w:r>
        <w:t xml:space="preserve"> </w:t>
      </w:r>
      <w:r>
        <w:t xml:space="preserve">superlative style.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 market-impact stance.</w:t>
      </w:r>
      <w:r>
        <w:t xml:space="preserve"> </w:t>
      </w:r>
      <w:r>
        <w:t xml:space="preserve">For the ~1,851 market-relevant, non-boilerplate</w:t>
      </w:r>
      <w:r>
        <w:t xml:space="preserve"> </w:t>
      </w:r>
      <w:r>
        <w:t xml:space="preserve">posts (the cases where idiom matters), an instruction-tuned LLM labels the</w:t>
      </w:r>
      <w:r>
        <w:t xml:space="preserve"> </w:t>
      </w:r>
      <w:r>
        <w:rPr>
          <w:i/>
          <w:iCs/>
        </w:rPr>
        <w:t xml:space="preserve">direction a trader would lean for risk assets</w:t>
      </w:r>
      <w:r>
        <w:t xml:space="preserve"> </w:t>
      </w:r>
      <w:r>
        <w:t xml:space="preserve">on reading the post (−2…+2),</w:t>
      </w:r>
      <w:r>
        <w:t xml:space="preserve"> </w:t>
      </w:r>
      <w:r>
        <w:t xml:space="preserve">a conviction (0–1), and flags for policy-signal and market-directive content.</w:t>
      </w:r>
      <w:r>
        <w:t xml:space="preserve"> </w:t>
      </w:r>
      <w:r>
        <w:t xml:space="preserve">We emphasise this is a market-impact read from the text, not hindsight.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Novelty.</w:t>
      </w:r>
      <w:r>
        <w:t xml:space="preserve"> </w:t>
      </w:r>
      <w:r>
        <w:t xml:space="preserve">A causal 7-day novelty score (1 − maximum cosine similarity to the</w:t>
      </w:r>
      <w:r>
        <w:t xml:space="preserve"> </w:t>
      </w:r>
      <w:r>
        <w:t xml:space="preserve">embeddings of posts in the trailing week) distinguishes first-of-kind statements</w:t>
      </w:r>
      <w:r>
        <w:t xml:space="preserve"> </w:t>
      </w:r>
      <w:r>
        <w:t xml:space="preserve">from repetitive 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Bursts.</w:t>
      </w:r>
      <w:r>
        <w:t xml:space="preserve"> </w:t>
      </w:r>
      <w:r>
        <w:t xml:space="preserve">Because posts arrive in clusters (ten posts in seven minutes is</w:t>
      </w:r>
      <w:r>
        <w:t xml:space="preserve"> </w:t>
      </w:r>
      <w:r>
        <w:t xml:space="preserve">common), the unit of observation is the</w:t>
      </w:r>
      <w:r>
        <w:t xml:space="preserve"> </w:t>
      </w:r>
      <w:r>
        <w:rPr>
          <w:i/>
          <w:iCs/>
        </w:rPr>
        <w:t xml:space="preserve">burst</w:t>
      </w:r>
      <w:r>
        <w:t xml:space="preserve"> </w:t>
      </w:r>
      <w:r>
        <w:t xml:space="preserve">— posts less than 30 minutes</w:t>
      </w:r>
      <w:r>
        <w:t xml:space="preserve"> </w:t>
      </w:r>
      <w:r>
        <w:t xml:space="preserve">apart — anchored to the first post’s hour. Within-burst moves cannot be</w:t>
      </w:r>
      <w:r>
        <w:t xml:space="preserve"> </w:t>
      </w:r>
      <w:r>
        <w:t xml:space="preserve">attributed to one post.</w:t>
      </w:r>
    </w:p>
    <w:p>
      <w:pPr>
        <w:pStyle w:val="FirstParagraph"/>
      </w:pPr>
      <w:r>
        <w:t xml:space="preserve">We note two disclosed limitations of the signal. First, the directional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blends an LLM market-impact read (where available) with FinBERT tone (otherwise);</w:t>
      </w:r>
      <w:r>
        <w:t xml:space="preserve"> </w:t>
      </w:r>
      <w:r>
        <w:t xml:space="preserve">we therefore also report results using a</w:t>
      </w:r>
      <w:r>
        <w:t xml:space="preserve"> </w:t>
      </w:r>
      <w:r>
        <w:rPr>
          <w:b/>
          <w:bCs/>
        </w:rPr>
        <w:t xml:space="preserve">FinBERT-only</w:t>
      </w:r>
      <w:r>
        <w:t xml:space="preserve"> </w:t>
      </w:r>
      <w:r>
        <w:t xml:space="preserve">signal, whose training</w:t>
      </w:r>
      <w:r>
        <w:t xml:space="preserve"> </w:t>
      </w:r>
      <w:r>
        <w:t xml:space="preserve">predates these events and is thus immune to any leakage through an LLM’s</w:t>
      </w:r>
      <w:r>
        <w:t xml:space="preserve"> </w:t>
      </w:r>
      <w:r>
        <w:t xml:space="preserve">parametric memory of how famous posts played out. Second, engagement counts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known at post time and are excluded from all predictive specifications.</w:t>
      </w:r>
    </w:p>
    <w:p>
      <w:r>
        <w:pict>
          <v:rect style="width:0;height:1.5pt" o:hralign="center" o:hrstd="t" o:hr="t"/>
        </w:pict>
      </w:r>
    </w:p>
    <w:bookmarkEnd w:id="13"/>
    <w:bookmarkStart w:id="14" w:name="method"/>
    <w:p>
      <w:pPr>
        <w:pStyle w:val="Heading2"/>
      </w:pPr>
      <w:r>
        <w:t xml:space="preserve">5. Method</w:t>
      </w:r>
    </w:p>
    <w:p>
      <w:pPr>
        <w:pStyle w:val="FirstParagraph"/>
      </w:pPr>
      <w:r>
        <w:t xml:space="preserve">The analysis was</w:t>
      </w:r>
      <w:r>
        <w:t xml:space="preserve"> </w:t>
      </w:r>
      <w:r>
        <w:rPr>
          <w:b/>
          <w:bCs/>
        </w:rPr>
        <w:t xml:space="preserve">pre-registered</w:t>
      </w:r>
      <w:r>
        <w:t xml:space="preserve"> </w:t>
      </w:r>
      <w:r>
        <w:t xml:space="preserve">before the signal-dependent results were</w:t>
      </w:r>
      <w:r>
        <w:t xml:space="preserve"> </w:t>
      </w:r>
      <w:r>
        <w:t xml:space="preserve">computed (with one dated amendment that reframed the study as</w:t>
      </w:r>
      <w:r>
        <w:t xml:space="preserve"> </w:t>
      </w:r>
      <w:r>
        <w:t xml:space="preserve">exploratory/observational and adopted the robustness checks below); the</w:t>
      </w:r>
      <w:r>
        <w:t xml:space="preserve"> </w:t>
      </w:r>
      <w:r>
        <w:t xml:space="preserve">pre-registration timestamp is the evidence of pre-commitment.</w:t>
      </w:r>
    </w:p>
    <w:p>
      <w:pPr>
        <w:pStyle w:val="BodyText"/>
      </w:pPr>
      <w:r>
        <w:rPr>
          <w:b/>
          <w:bCs/>
        </w:rPr>
        <w:t xml:space="preserve">Targets.</w:t>
      </w:r>
      <w:r>
        <w:t xml:space="preserve"> </w:t>
      </w:r>
      <w:r>
        <w:t xml:space="preserve">For horizons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∈ {1, 4, 24} hours we compute forward log return and</w:t>
      </w:r>
      <w:r>
        <w:t xml:space="preserve"> </w:t>
      </w:r>
      <w:r>
        <w:t xml:space="preserve">forward realised volatility (the root of summed squared hourly log returns over</w:t>
      </w:r>
      <w:r>
        <w:t xml:space="preserve"> </w:t>
      </w:r>
      <w:r>
        <w:rPr>
          <w:i/>
          <w:iCs/>
        </w:rPr>
        <w:t xml:space="preserve">k</w:t>
      </w:r>
      <w:r>
        <w:t xml:space="preserve">), plus a trailing-24-hour realised volatility</w:t>
      </w:r>
      <w:r>
        <w:t xml:space="preserve"> </w:t>
      </w:r>
      <w:r>
        <w:rPr>
          <w:i/>
          <w:iCs/>
        </w:rPr>
        <w:t xml:space="preserve">known at event 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Primary inference (RQ1).</w:t>
      </w:r>
      <w:r>
        <w:t xml:space="preserve"> </w:t>
      </w:r>
      <w:r>
        <w:t xml:space="preserve">A cluster-robust OLS regression on all hourly bars of</w:t>
      </w:r>
      <w:r>
        <w:t xml:space="preserve"> </w:t>
      </w:r>
      <w:r>
        <w:t xml:space="preserve">forward volatility on an event dummy, controlling for trailing volatility and</w:t>
      </w:r>
      <w:r>
        <w:t xml:space="preserve"> </w:t>
      </w:r>
      <w:r>
        <w:t xml:space="preserve">hour-of-day, with standard errors clustered by calendar day. The trailing-vol</w:t>
      </w:r>
      <w:r>
        <w:t xml:space="preserve"> </w:t>
      </w:r>
      <w:r>
        <w:t xml:space="preserve">control is the key identification device: a high-profile actor may post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volatility is already elevated, so the question is whether forward volatility rises</w:t>
      </w:r>
      <w:r>
        <w:t xml:space="preserve"> </w:t>
      </w:r>
      <w:r>
        <w:rPr>
          <w:i/>
          <w:iCs/>
        </w:rPr>
        <w:t xml:space="preserve">beyond</w:t>
      </w:r>
      <w:r>
        <w:t xml:space="preserve"> </w:t>
      </w:r>
      <w:r>
        <w:t xml:space="preserve">what trailing volatility predicts.</w:t>
      </w:r>
    </w:p>
    <w:p>
      <w:pPr>
        <w:pStyle w:val="BodyText"/>
      </w:pPr>
      <w:r>
        <w:rPr>
          <w:b/>
          <w:bCs/>
        </w:rPr>
        <w:t xml:space="preserve">Corroborating nulls.</w:t>
      </w:r>
      <w:r>
        <w:t xml:space="preserve"> </w:t>
      </w:r>
      <w:r>
        <w:t xml:space="preserve">Two bootstrap nulls (2,000 draws): one matching the</w:t>
      </w:r>
      <w:r>
        <w:t xml:space="preserve"> </w:t>
      </w:r>
      <w:r>
        <w:t xml:space="preserve">comparison hours on hour-of-day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trailing-vol quintile (an i.i.d. null), and</w:t>
      </w:r>
      <w:r>
        <w:t xml:space="preserve"> </w:t>
      </w:r>
      <w:r>
        <w:t xml:space="preserve">one resampling whole calendar-day blocks to reproduce the event sample’s</w:t>
      </w:r>
      <w:r>
        <w:t xml:space="preserve"> </w:t>
      </w:r>
      <w:r>
        <w:t xml:space="preserve">day-clustering. We report a balance table (event vs. pool trailing volatility) with</w:t>
      </w:r>
      <w:r>
        <w:t xml:space="preserve"> </w:t>
      </w:r>
      <w:r>
        <w:t xml:space="preserve">every volatility claim.</w:t>
      </w:r>
    </w:p>
    <w:p>
      <w:pPr>
        <w:pStyle w:val="BodyText"/>
      </w:pPr>
      <w:r>
        <w:rPr>
          <w:b/>
          <w:bCs/>
        </w:rPr>
        <w:t xml:space="preserve">RQ2/RQ3.</w:t>
      </w:r>
      <w:r>
        <w:t xml:space="preserve"> </w:t>
      </w:r>
      <w:r>
        <w:t xml:space="preserve">For direction, cluster-robust regressions of forward returns on the</w:t>
      </w:r>
      <w:r>
        <w:t xml:space="preserve"> </w:t>
      </w:r>
      <w:r>
        <w:t xml:space="preserve">signal, novelty and topic dummies, with Benjamini–Hochberg false-discovery</w:t>
      </w:r>
      <w:r>
        <w:t xml:space="preserve"> </w:t>
      </w:r>
      <w:r>
        <w:t xml:space="preserve">correction across the test grid. For tradeable edge, a sign-of-signal rule on a</w:t>
      </w:r>
      <w:r>
        <w:t xml:space="preserve"> </w:t>
      </w:r>
      <w:r>
        <w:t xml:space="preserve">final-20%-by-time out-of-sample holdout, held four hours, net of a 0.24%</w:t>
      </w:r>
      <w:r>
        <w:t xml:space="preserve"> </w:t>
      </w:r>
      <w:r>
        <w:t xml:space="preserve">round-trip cost (0.1% taker × 2 + 2 bp slippage × 2), judged by a block-bootstrap</w:t>
      </w:r>
      <w:r>
        <w:t xml:space="preserve"> </w:t>
      </w:r>
      <w:r>
        <w:t xml:space="preserve">95% Sharpe confidence interval whose lower bound must exceed zero. RQ3 is reported</w:t>
      </w:r>
      <w:r>
        <w:t xml:space="preserve"> </w:t>
      </w:r>
      <w:r>
        <w:t xml:space="preserve">for both the LLM-blended and FinBERT-only signals, and split by policy-signal</w:t>
      </w:r>
      <w:r>
        <w:t xml:space="preserve"> </w:t>
      </w: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14"/>
    <w:bookmarkStart w:id="20" w:name="results"/>
    <w:p>
      <w:pPr>
        <w:pStyle w:val="Heading2"/>
      </w:pPr>
      <w:r>
        <w:t xml:space="preserve">6. Results</w:t>
      </w:r>
    </w:p>
    <w:p>
      <w:pPr>
        <w:pStyle w:val="FirstParagraph"/>
      </w:pPr>
      <w:r>
        <w:t xml:space="preserve">Reported</w:t>
      </w:r>
      <w:r>
        <w:t xml:space="preserve"> </w:t>
      </w:r>
      <w:r>
        <w:rPr>
          <w:i/>
          <w:iCs/>
        </w:rPr>
        <w:t xml:space="preserve">p</w:t>
      </w:r>
      <w:r>
        <w:t xml:space="preserve">-values are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(uncorrected for multiple comparisons)</w:t>
      </w:r>
      <w:r>
        <w:t xml:space="preserve"> </w:t>
      </w:r>
      <w:r>
        <w:t xml:space="preserve">except in RQ2/RQ3, where a Benjamini–Hochberg false-discovery correction is</w:t>
      </w:r>
      <w:r>
        <w:t xml:space="preserve"> </w:t>
      </w:r>
      <w:r>
        <w:t xml:space="preserve">applied. For the RQ1 volatility result the multiplicity safeguard is not a</w:t>
      </w:r>
      <w:r>
        <w:t xml:space="preserve"> </w:t>
      </w:r>
      <w:r>
        <w:t xml:space="preserve">corrected threshold but the</w:t>
      </w:r>
      <w:r>
        <w:t xml:space="preserve"> </w:t>
      </w:r>
      <w:r>
        <w:rPr>
          <w:i/>
          <w:iCs/>
        </w:rPr>
        <w:t xml:space="preserve">consistency</w:t>
      </w:r>
      <w:r>
        <w:t xml:space="preserve"> </w:t>
      </w:r>
      <w:r>
        <w:t xml:space="preserve">of the effect across two horizons</w:t>
      </w:r>
      <w:r>
        <w:t xml:space="preserve"> </w:t>
      </w:r>
      <w:r>
        <w:t xml:space="preserve">(1 h, 4 h) × three assets × two independent nulls, together with the</w:t>
      </w:r>
      <w:r>
        <w:t xml:space="preserve"> </w:t>
      </w:r>
      <w:r>
        <w:t xml:space="preserve">content-placebo contrast (§6.2); we read the nominal values in this exploratory/</w:t>
      </w:r>
      <w:r>
        <w:t xml:space="preserve"> </w:t>
      </w:r>
      <w:r>
        <w:t xml:space="preserve">observational spirit rather than as confirmatory significance tests.</w:t>
      </w:r>
    </w:p>
    <w:bookmarkStart w:id="15" w:name="rq1-a-robust-14-hour-volatility-effect"/>
    <w:p>
      <w:pPr>
        <w:pStyle w:val="Heading3"/>
      </w:pPr>
      <w:r>
        <w:t xml:space="preserve">6.1 RQ1 — a robust 1–4 hour volatility effect</w:t>
      </w:r>
    </w:p>
    <w:p>
      <w:pPr>
        <w:pStyle w:val="FirstParagraph"/>
      </w:pPr>
      <w:r>
        <w:t xml:space="preserve">Market-relevant post bursts are followed by elevated short-horizon realised</w:t>
      </w:r>
      <w:r>
        <w:t xml:space="preserve"> </w:t>
      </w:r>
      <w:r>
        <w:t xml:space="preserve">volatility. In the cluster-robust regression (the primary inference), the Bitcoin</w:t>
      </w:r>
      <w:r>
        <w:t xml:space="preserve"> </w:t>
      </w:r>
      <w:r>
        <w:t xml:space="preserve">event dummy is</w:t>
      </w:r>
      <w:r>
        <w:t xml:space="preserve"> </w:t>
      </w:r>
      <w:r>
        <w:rPr>
          <w:b/>
          <w:bCs/>
        </w:rPr>
        <w:t xml:space="preserve">+3.06 bp at 1 hour (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= 0.018)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+5.18 bp at 4 hours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= 0.007)</w:t>
      </w:r>
      <w:r>
        <w:t xml:space="preserve"> </w:t>
      </w:r>
      <w:r>
        <w:t xml:space="preserve">over the full sample, and +3.37 bp (</w:t>
      </w:r>
      <w:r>
        <w:rPr>
          <w:i/>
          <w:iCs/>
        </w:rPr>
        <w:t xml:space="preserve">p</w:t>
      </w:r>
      <w:r>
        <w:t xml:space="preserve"> </w:t>
      </w:r>
      <w:r>
        <w:t xml:space="preserve">= 0.041) / +6.33 bp</w:t>
      </w:r>
      <w:r>
        <w:t xml:space="preserve"> </w:t>
      </w:r>
      <w:r>
        <w:t xml:space="preserve">(</w:t>
      </w:r>
      <w:r>
        <w:rPr>
          <w:i/>
          <w:iCs/>
        </w:rPr>
        <w:t xml:space="preserve">p</w:t>
      </w:r>
      <w:r>
        <w:t xml:space="preserve"> </w:t>
      </w:r>
      <w:r>
        <w:t xml:space="preserve">= 0.015) in the in-office (2025+) sub-sample. The</w:t>
      </w:r>
      <w:r>
        <w:t xml:space="preserve"> </w:t>
      </w:r>
      <w:r>
        <w:rPr>
          <w:b/>
          <w:bCs/>
        </w:rPr>
        <w:t xml:space="preserve">24-hour</w:t>
      </w:r>
      <w:r>
        <w:t xml:space="preserve"> </w:t>
      </w:r>
      <w:r>
        <w:t xml:space="preserve">dummy is</w:t>
      </w:r>
      <w:r>
        <w:t xml:space="preserve"> </w:t>
      </w:r>
      <w:r>
        <w:t xml:space="preserve">insignificant and near zero (−0.89 bp,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0.795), consistent with the 24-hour</w:t>
      </w:r>
      <w:r>
        <w:t xml:space="preserve"> </w:t>
      </w:r>
      <w:r>
        <w:t xml:space="preserve">window capturing ordinary volatility clustering rather than a post effect. The two</w:t>
      </w:r>
      <w:r>
        <w:t xml:space="preserve"> </w:t>
      </w:r>
      <w:r>
        <w:t xml:space="preserve">bootstrap nulls corroborate the 1–4 hour result (event vs. matched null: 4-hour</w:t>
      </w:r>
      <w:r>
        <w:t xml:space="preserve"> </w:t>
      </w:r>
      <w:r>
        <w:t xml:space="preserve">+87.6 bp vs. +82.8 bp). The balance table shows the comparison is fair: event-hour</w:t>
      </w:r>
      <w:r>
        <w:t xml:space="preserve"> </w:t>
      </w:r>
      <w:r>
        <w:t xml:space="preserve">trailing volatility (223 bp) is essentially identical to the pool (225 bp) — the</w:t>
      </w:r>
      <w:r>
        <w:t xml:space="preserve"> </w:t>
      </w:r>
      <w:r>
        <w:t xml:space="preserve">effect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artefact of posts arriving in already-high-volatility hours.</w:t>
      </w:r>
    </w:p>
    <w:p>
      <w:pPr>
        <w:pStyle w:val="BodyText"/>
      </w:pPr>
      <w:r>
        <w:t xml:space="preserve">The economic magnitude is modest — roughly a 5–8% relative increase in realised</w:t>
      </w:r>
      <w:r>
        <w:t xml:space="preserve"> </w:t>
      </w:r>
      <w:r>
        <w:t xml:space="preserve">volatility for one to four hours — and we treat it as a volatility/timing signal,</w:t>
      </w:r>
      <w:r>
        <w:t xml:space="preserve"> </w:t>
      </w:r>
      <w:r>
        <w:t xml:space="preserve">not an alpha source.</w:t>
      </w:r>
    </w:p>
    <w:bookmarkEnd w:id="15"/>
    <w:bookmarkStart w:id="16" w:name="Xa341273a5b065879206e15827519b0b2ce2aafc"/>
    <w:p>
      <w:pPr>
        <w:pStyle w:val="Heading3"/>
      </w:pPr>
      <w:r>
        <w:t xml:space="preserve">6.2 The content placebo — the effect is specific to market content</w:t>
      </w:r>
    </w:p>
    <w:p>
      <w:pPr>
        <w:pStyle w:val="FirstParagraph"/>
      </w:pPr>
      <w:r>
        <w:t xml:space="preserve">To separate</w:t>
      </w:r>
      <w:r>
        <w:t xml:space="preserve"> </w:t>
      </w:r>
      <w:r>
        <w:t xml:space="preserve">“market content moves volatility”</w:t>
      </w:r>
      <w:r>
        <w:t xml:space="preserve"> </w:t>
      </w:r>
      <w:r>
        <w:t xml:space="preserve">from</w:t>
      </w:r>
      <w:r>
        <w:t xml:space="preserve"> </w:t>
      </w:r>
      <w:r>
        <w:t xml:space="preserve">“any post, or any time-of-day,</w:t>
      </w:r>
      <w:r>
        <w:t xml:space="preserve"> </w:t>
      </w:r>
      <w:r>
        <w:t xml:space="preserve">coincides with volatility,”</w:t>
      </w:r>
      <w:r>
        <w:t xml:space="preserve"> </w:t>
      </w:r>
      <w:r>
        <w:t xml:space="preserve">we run the identical pipeline on the</w:t>
      </w:r>
      <w:r>
        <w:t xml:space="preserve"> </w:t>
      </w:r>
      <w:r>
        <w:rPr>
          <w:i/>
          <w:iCs/>
        </w:rPr>
        <w:t xml:space="preserve">same author’s</w:t>
      </w:r>
      <w:r>
        <w:rPr>
          <w:i/>
          <w:iCs/>
        </w:rPr>
        <w:t xml:space="preserve"> </w:t>
      </w:r>
      <w:r>
        <w:rPr>
          <w:i/>
          <w:iCs/>
        </w:rPr>
        <w:t xml:space="preserve">non-market-relevant</w:t>
      </w:r>
      <w:r>
        <w:t xml:space="preserve"> </w:t>
      </w:r>
      <w:r>
        <w:t xml:space="preserve">posts — 7,232 bursts, five times the treatment count, so</w:t>
      </w:r>
      <w:r>
        <w:t xml:space="preserve"> </w:t>
      </w:r>
      <w:r>
        <w:t xml:space="preserve">higher statistical power. Under the primary inference these show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volatility</w:t>
      </w:r>
      <w:r>
        <w:t xml:space="preserve"> </w:t>
      </w:r>
      <w:r>
        <w:t xml:space="preserve">effect: the 4-hour event dummy is +1.04 bp (</w:t>
      </w:r>
      <w:r>
        <w:rPr>
          <w:i/>
          <w:iCs/>
        </w:rPr>
        <w:t xml:space="preserve">p</w:t>
      </w:r>
      <w:r>
        <w:t xml:space="preserve"> </w:t>
      </w:r>
      <w:r>
        <w:t xml:space="preserve">= 0.232) full-sample and +1.62 bp</w:t>
      </w:r>
      <w:r>
        <w:t xml:space="preserve"> </w:t>
      </w:r>
      <w:r>
        <w:t xml:space="preserve">(</w:t>
      </w:r>
      <w:r>
        <w:rPr>
          <w:i/>
          <w:iCs/>
        </w:rPr>
        <w:t xml:space="preserve">p</w:t>
      </w:r>
      <w:r>
        <w:t xml:space="preserve"> </w:t>
      </w:r>
      <w:r>
        <w:t xml:space="preserve">= 0.214) in 2025+, versus the treatment’s +5.18 bp (</w:t>
      </w:r>
      <w:r>
        <w:rPr>
          <w:i/>
          <w:iCs/>
        </w:rPr>
        <w:t xml:space="preserve">p</w:t>
      </w:r>
      <w:r>
        <w:t xml:space="preserve"> </w:t>
      </w:r>
      <w:r>
        <w:t xml:space="preserve">= 0.007) and +6.33 bp</w:t>
      </w:r>
      <w:r>
        <w:t xml:space="preserve"> </w:t>
      </w:r>
      <w:r>
        <w:t xml:space="preserve">(</w:t>
      </w:r>
      <w:r>
        <w:rPr>
          <w:i/>
          <w:iCs/>
        </w:rPr>
        <w:t xml:space="preserve">p</w:t>
      </w:r>
      <w:r>
        <w:t xml:space="preserve"> </w:t>
      </w:r>
      <w:r>
        <w:t xml:space="preserve">= 0.015) — a roughly five-fold difference in effect size, with the placebo</w:t>
      </w:r>
      <w:r>
        <w:t xml:space="preserve"> </w:t>
      </w:r>
      <w:r>
        <w:t xml:space="preserve">indistinguishable from zero. At 24 hours neither group shows a positive effect;</w:t>
      </w:r>
      <w:r>
        <w:t xml:space="preserve"> </w:t>
      </w:r>
      <w:r>
        <w:t xml:space="preserve">the placebo’s 24-hour coefficient is in fact significantly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(−5.39 bp,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0.004) — an unexplained large-sample artefact of the opposite sign that we</w:t>
      </w:r>
      <w:r>
        <w:t xml:space="preserve"> </w:t>
      </w:r>
      <w:r>
        <w:t xml:space="preserve">do not interpret as a post effect, and which mirrors the treatment’s own null</w:t>
      </w:r>
      <w:r>
        <w:t xml:space="preserve"> </w:t>
      </w:r>
      <w:r>
        <w:t xml:space="preserve">24-hour coefficient (−0.89 bp). The volatility effect is therefore a property of</w:t>
      </w:r>
      <w:r>
        <w:t xml:space="preserve"> </w:t>
      </w:r>
      <w:r>
        <w:t xml:space="preserve">the market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of the posts at the 1–4 hour horizon, not of the act of</w:t>
      </w:r>
      <w:r>
        <w:t xml:space="preserve"> </w:t>
      </w:r>
      <w:r>
        <w:t xml:space="preserve">posting or of intraday seasonality (which the null already matches).</w:t>
      </w:r>
    </w:p>
    <w:bookmarkEnd w:id="16"/>
    <w:bookmarkStart w:id="17" w:name="Xf28051ef25960e16505e6a68a5e92d49d31a351"/>
    <w:p>
      <w:pPr>
        <w:pStyle w:val="Heading3"/>
      </w:pPr>
      <w:r>
        <w:t xml:space="preserve">6.3 RQ2/RQ3 — no directional predictability, no tradeable edge</w:t>
      </w:r>
    </w:p>
    <w:p>
      <w:pPr>
        <w:pStyle w:val="FirstParagraph"/>
      </w:pPr>
      <w:r>
        <w:t xml:space="preserve">The directional signal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predict the sign of forward returns: the</w:t>
      </w:r>
      <w:r>
        <w:t xml:space="preserve"> </w:t>
      </w:r>
      <w:r>
        <w:t xml:space="preserve">continuous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term is insignificant at every asset and horizon (all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&gt;</w:t>
      </w:r>
      <w:r>
        <w:t xml:space="preserve"> </w:t>
      </w:r>
      <w:r>
        <w:t xml:space="preserve">0.4). No post-event trading rule clears costs: across all twelve cells (three</w:t>
      </w:r>
      <w:r>
        <w:t xml:space="preserve"> </w:t>
      </w:r>
      <w:r>
        <w:t xml:space="preserve">assets × {all, policy-gated} × {LLM, FinBERT signals}), the sign-of-signal rule</w:t>
      </w:r>
      <w:r>
        <w:t xml:space="preserve"> </w:t>
      </w:r>
      <w:r>
        <w:t xml:space="preserve">loses money net of the 0.24% round trip, with out-of-sample annualised Sharpe</w:t>
      </w:r>
      <w:r>
        <w:t xml:space="preserve"> </w:t>
      </w:r>
      <w:r>
        <w:t xml:space="preserve">ratios between roughly −6 and −15. Critically, the null holds under the</w:t>
      </w:r>
      <w:r>
        <w:t xml:space="preserve"> </w:t>
      </w:r>
      <w:r>
        <w:rPr>
          <w:b/>
          <w:bCs/>
        </w:rPr>
        <w:t xml:space="preserve">FinBERT-only</w:t>
      </w:r>
      <w:r>
        <w:t xml:space="preserve"> </w:t>
      </w:r>
      <w:r>
        <w:t xml:space="preserve">signal as well as the LLM signal, so it is not an artefact of any</w:t>
      </w:r>
      <w:r>
        <w:t xml:space="preserve"> </w:t>
      </w:r>
      <w:r>
        <w:t xml:space="preserve">LLM training-corpus leakage. Trading every market-relevant burst is, mechanically,</w:t>
      </w:r>
      <w:r>
        <w:t xml:space="preserve"> </w:t>
      </w:r>
      <w:r>
        <w:t xml:space="preserve">cost-prohibitive; the absence of a directional edge is robust.</w:t>
      </w:r>
    </w:p>
    <w:p>
      <w:pPr>
        <w:pStyle w:val="BodyText"/>
      </w:pPr>
      <w:r>
        <w:t xml:space="preserve">The Benjamini–Hochberg procedure flags eight</w:t>
      </w:r>
      <w:r>
        <w:t xml:space="preserve"> </w:t>
      </w:r>
      <w:r>
        <w:t xml:space="preserve">“surviving”</w:t>
      </w:r>
      <w:r>
        <w:t xml:space="preserve"> </w:t>
      </w:r>
      <w:r>
        <w:t xml:space="preserve">coefficients, but</w:t>
      </w:r>
      <w: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eight are the market-directive dummy</w:t>
      </w:r>
      <w:r>
        <w:t xml:space="preserve"> </w:t>
      </w:r>
      <w:r>
        <w:t xml:space="preserve">— i.e. the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 directive class (below) —</w:t>
      </w:r>
      <w:r>
        <w:t xml:space="preserve"> </w:t>
      </w:r>
      <w:r>
        <w:t xml:space="preserve">and their large magnitudes (+166 to +724 bp) 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0.000 are the mechanical</w:t>
      </w:r>
      <w:r>
        <w:t xml:space="preserve"> </w:t>
      </w:r>
      <w:r>
        <w:t xml:space="preserve">artefact of a two-observation dummy landing on two large-move events, not evidence</w:t>
      </w:r>
      <w:r>
        <w:t xml:space="preserve"> </w:t>
      </w:r>
      <w:r>
        <w:t xml:space="preserve">of a generalisable effect. A negative one-hour coefficient on the China/tariff</w:t>
      </w:r>
      <w:r>
        <w:t xml:space="preserve"> </w:t>
      </w:r>
      <w:r>
        <w:t xml:space="preserve">topic (−8 to −17 bp,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≈ 0.02–0.03, not surviving correction) is reported only as</w:t>
      </w:r>
      <w:r>
        <w:t xml:space="preserve"> </w:t>
      </w:r>
      <w:r>
        <w:t xml:space="preserve">a consistency check: that trade-war escalation is risk-off for crypto is already</w:t>
      </w:r>
      <w:r>
        <w:t xml:space="preserve"> </w:t>
      </w:r>
      <w:r>
        <w:t xml:space="preserve">known, so we do not report it as a finding.</w:t>
      </w:r>
    </w:p>
    <w:bookmarkEnd w:id="17"/>
    <w:bookmarkStart w:id="18" w:name="the-market-directive-case-study-n-2"/>
    <w:p>
      <w:pPr>
        <w:pStyle w:val="Heading3"/>
      </w:pPr>
      <w:r>
        <w:t xml:space="preserve">6.4 The market-directive case study (</w:t>
      </w:r>
      <w:r>
        <w:rPr>
          <w:i/>
          <w:iCs/>
        </w:rPr>
        <w:t xml:space="preserve">n</w:t>
      </w:r>
      <w:r>
        <w:t xml:space="preserve"> </w:t>
      </w:r>
      <w:r>
        <w:t xml:space="preserve">= 2)</w:t>
      </w:r>
    </w:p>
    <w:p>
      <w:pPr>
        <w:pStyle w:val="FirstParagraph"/>
      </w:pPr>
      <w:r>
        <w:t xml:space="preserve">Two posts in the corpus are explicit market directives:</w:t>
      </w:r>
      <w:r>
        <w:t xml:space="preserve"> </w:t>
      </w:r>
      <w:r>
        <w:t xml:space="preserve">“I think it’s going very</w:t>
      </w:r>
      <w:r>
        <w:t xml:space="preserve"> </w:t>
      </w:r>
      <w:r>
        <w:t xml:space="preserve">well…The MARKETS are going to BOOM”</w:t>
      </w:r>
      <w:r>
        <w:t xml:space="preserve"> </w:t>
      </w:r>
      <w:r>
        <w:t xml:space="preserve">(3 April 2025) and</w:t>
      </w:r>
      <w:r>
        <w:t xml:space="preserve"> </w:t>
      </w:r>
      <w:r>
        <w:t xml:space="preserve">“THIS IS A GREAT TIME TO</w:t>
      </w:r>
      <w:r>
        <w:t xml:space="preserve"> </w:t>
      </w:r>
      <w:r>
        <w:t xml:space="preserve">BUY!!! DJT”</w:t>
      </w:r>
      <w:r>
        <w:t xml:space="preserve"> </w:t>
      </w:r>
      <w:r>
        <w:t xml:space="preserve">(9 April 2025). Both preceded large rallies; the 9 April post preceded</w:t>
      </w:r>
      <w:r>
        <w:t xml:space="preserve"> </w:t>
      </w:r>
      <w:r>
        <w:t xml:space="preserve">the 90-day tariff-pause announcement by roughly four hours, and Bitcoin rose ~5.6%</w:t>
      </w:r>
      <w:r>
        <w:t xml:space="preserve"> </w:t>
      </w:r>
      <w:r>
        <w:t xml:space="preserve">over the following four hours and ~4.0% over 24 hours. We report these as a</w:t>
      </w:r>
      <w:r>
        <w:t xml:space="preserve"> </w:t>
      </w:r>
      <w:r>
        <w:t xml:space="preserve">qualitative illustration of the directive class and, as a documented matter of</w:t>
      </w:r>
      <w:r>
        <w:t xml:space="preserve"> </w:t>
      </w:r>
      <w:r>
        <w:t xml:space="preserve">public record, note that the 9 April post prompted public calls for</w:t>
      </w:r>
      <w:r>
        <w:t xml:space="preserve"> </w:t>
      </w:r>
      <w:r>
        <w:t xml:space="preserve">insider-trading and market-manipulation investigations. With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 we draw no</w:t>
      </w:r>
      <w:r>
        <w:t xml:space="preserve"> </w:t>
      </w:r>
      <w:r>
        <w:t xml:space="preserve">statistical inference; the episode motivates the directive taxonomy and the future</w:t>
      </w:r>
      <w:r>
        <w:t xml:space="preserve"> </w:t>
      </w:r>
      <w:r>
        <w:t xml:space="preserve">collection of more such events, not a tradeable claim.</w:t>
      </w:r>
    </w:p>
    <w:bookmarkEnd w:id="18"/>
    <w:bookmarkStart w:id="19" w:name="macro-panel"/>
    <w:p>
      <w:pPr>
        <w:pStyle w:val="Heading3"/>
      </w:pPr>
      <w:r>
        <w:t xml:space="preserve">6.5 Macro panel</w:t>
      </w:r>
    </w:p>
    <w:p>
      <w:pPr>
        <w:pStyle w:val="FirstParagraph"/>
      </w:pPr>
      <w:r>
        <w:t xml:space="preserve">On the daily macro panel (December 2024 onward) we find no statistically</w:t>
      </w:r>
      <w:r>
        <w:t xml:space="preserve"> </w:t>
      </w:r>
      <w:r>
        <w:t xml:space="preserve">significant next-day effects of post activity or sentiment on any series. The panel</w:t>
      </w:r>
      <w:r>
        <w:t xml:space="preserve"> </w:t>
      </w:r>
      <w:r>
        <w:t xml:space="preserve">is short and daily, so this is low-power evidence rather than evidence of absence.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iscussion-and-limitations"/>
    <w:p>
      <w:pPr>
        <w:pStyle w:val="Heading2"/>
      </w:pPr>
      <w:r>
        <w:t xml:space="preserve">7. Discussion and limitations</w:t>
      </w:r>
    </w:p>
    <w:p>
      <w:pPr>
        <w:pStyle w:val="FirstParagraph"/>
      </w:pPr>
      <w:r>
        <w:rPr>
          <w:b/>
          <w:bCs/>
        </w:rPr>
        <w:t xml:space="preserve">What the evidence supports.</w:t>
      </w:r>
      <w:r>
        <w:t xml:space="preserve"> </w:t>
      </w:r>
      <w:r>
        <w:t xml:space="preserve">Posts with market content are followed by a small,</w:t>
      </w:r>
      <w:r>
        <w:t xml:space="preserve"> </w:t>
      </w:r>
      <w:r>
        <w:t xml:space="preserve">robust increase in 1–4 hour crypto volatility that survives an endogenous-timing</w:t>
      </w:r>
      <w:r>
        <w:t xml:space="preserve"> </w:t>
      </w:r>
      <w:r>
        <w:t xml:space="preserve">control and is absent for the same author’s non-market posts. They do not predict</w:t>
      </w:r>
      <w:r>
        <w:t xml:space="preserve"> </w:t>
      </w:r>
      <w:r>
        <w:t xml:space="preserve">direction, and the volatility effect is too small and too short-lived to trade</w:t>
      </w:r>
      <w:r>
        <w:t xml:space="preserve"> </w:t>
      </w:r>
      <w:r>
        <w:t xml:space="preserve">after costs. This is a coherent and, we think, credible picture: high-authority</w:t>
      </w:r>
      <w:r>
        <w:t xml:space="preserve"> </w:t>
      </w:r>
      <w:r>
        <w:t xml:space="preserve">communications inject short-lived uncertainty without providing a directional edge</w:t>
      </w:r>
      <w:r>
        <w:t xml:space="preserve"> </w:t>
      </w:r>
      <w:r>
        <w:t xml:space="preserve">to an outside reader.</w:t>
      </w:r>
    </w:p>
    <w:p>
      <w:pPr>
        <w:pStyle w:val="BodyText"/>
      </w:pPr>
      <w:r>
        <w:rPr>
          <w:b/>
          <w:bCs/>
        </w:rPr>
        <w:t xml:space="preserve">Methodological by-catch.</w:t>
      </w:r>
      <w:r>
        <w:t xml:space="preserve"> </w:t>
      </w:r>
      <w:r>
        <w:t xml:space="preserve">The content placebo also audited our inference</w:t>
      </w:r>
      <w:r>
        <w:t xml:space="preserve"> </w:t>
      </w:r>
      <w:r>
        <w:t xml:space="preserve">machinery: the day-block bootstrap null flagged a</w:t>
      </w:r>
      <w:r>
        <w:t xml:space="preserve"> </w:t>
      </w:r>
      <w:r>
        <w:rPr>
          <w:i/>
          <w:iCs/>
        </w:rPr>
        <w:t xml:space="preserve">negligible</w:t>
      </w:r>
      <w:r>
        <w:t xml:space="preserve"> </w:t>
      </w:r>
      <w:r>
        <w:t xml:space="preserve">+0.4 bp placebo</w:t>
      </w:r>
      <w:r>
        <w:t xml:space="preserve"> </w:t>
      </w:r>
      <w:r>
        <w:t xml:space="preserve">“effect”</w:t>
      </w:r>
      <w:r>
        <w:t xml:space="preserve"> </w:t>
      </w:r>
      <w:r>
        <w:t xml:space="preserve">as significant, revealing that this null is anti-conservative at large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(its standard error shrinks faster than the dependence structure warrants). We</w:t>
      </w:r>
      <w:r>
        <w:t xml:space="preserve"> </w:t>
      </w:r>
      <w:r>
        <w:t xml:space="preserve">therefore treat the</w:t>
      </w:r>
      <w:r>
        <w:t xml:space="preserve"> </w:t>
      </w:r>
      <w:r>
        <w:rPr>
          <w:b/>
          <w:bCs/>
        </w:rPr>
        <w:t xml:space="preserve">cluster-robust regression as the primary inference</w:t>
      </w:r>
      <w:r>
        <w:t xml:space="preserve"> </w:t>
      </w:r>
      <w:r>
        <w:t xml:space="preserve">and the</w:t>
      </w:r>
      <w:r>
        <w:t xml:space="preserve"> </w:t>
      </w:r>
      <w:r>
        <w:t xml:space="preserve">bootstrap nulls as corroboration — a choice the placebo justifies empirically.</w:t>
      </w:r>
    </w:p>
    <w:p>
      <w:pPr>
        <w:pStyle w:val="BodyText"/>
      </w:pPr>
      <w:r>
        <w:rPr>
          <w:b/>
          <w:bCs/>
        </w:rPr>
        <w:t xml:space="preserve">Limitations (data ceilings, not fixable by method).</w:t>
      </w:r>
      <w:r>
        <w:t xml:space="preserve"> </w:t>
      </w:r>
      <w:r>
        <w:t xml:space="preserve">(i) The three crypto</w:t>
      </w:r>
      <w:r>
        <w:t xml:space="preserve"> </w:t>
      </w:r>
      <w:r>
        <w:t xml:space="preserve">assets co-move at ~0.92, so they constitute approximately one effect observed three</w:t>
      </w:r>
      <w:r>
        <w:t xml:space="preserve"> </w:t>
      </w:r>
      <w:r>
        <w:t xml:space="preserve">times, not three independent confirmations; we report Bitcoin as primary and the</w:t>
      </w:r>
      <w:r>
        <w:t xml:space="preserve"> </w:t>
      </w:r>
      <w:r>
        <w:t xml:space="preserve">others as robustness. (ii) Market-relevant bursts cluster heavily in the 2025–26</w:t>
      </w:r>
      <w:r>
        <w:t xml:space="preserve"> </w:t>
      </w:r>
      <w:r>
        <w:t xml:space="preserve">trade-policy regime, so external validity beyond that regime is unestablished, and</w:t>
      </w:r>
      <w:r>
        <w:t xml:space="preserve"> </w:t>
      </w:r>
      <w:r>
        <w:t xml:space="preserve">this bites the directional results hardest. (iii) The market-directive class has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2; it is a case study. (iv) Our placebo is a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(within-actor) control;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different-actor</w:t>
      </w:r>
      <w:r>
        <w:t xml:space="preserve"> </w:t>
      </w:r>
      <w:r>
        <w:t xml:space="preserve">placebo — another high-salience poster’s timestamps — would</w:t>
      </w:r>
      <w:r>
        <w:t xml:space="preserve"> </w:t>
      </w:r>
      <w:r>
        <w:t xml:space="preserve">further separate</w:t>
      </w:r>
      <w:r>
        <w:t xml:space="preserve"> </w:t>
      </w:r>
      <w:r>
        <w:t xml:space="preserve">“this actor’s text”</w:t>
      </w:r>
      <w:r>
        <w:t xml:space="preserve"> </w:t>
      </w:r>
      <w:r>
        <w:t xml:space="preserve">from</w:t>
      </w:r>
      <w:r>
        <w:t xml:space="preserve"> </w:t>
      </w:r>
      <w:r>
        <w:t xml:space="preserve">“any salient market commentator,”</w:t>
      </w:r>
      <w:r>
        <w:t xml:space="preserve"> </w:t>
      </w:r>
      <w:r>
        <w:t xml:space="preserve">but no</w:t>
      </w:r>
      <w:r>
        <w:t xml:space="preserve"> </w:t>
      </w:r>
      <w:r>
        <w:t xml:space="preserve">clean negative-control feed was readily available (a poster who also moves crypto</w:t>
      </w:r>
      <w:r>
        <w:t xml:space="preserve"> </w:t>
      </w:r>
      <w:r>
        <w:t xml:space="preserve">would be a positive, not negative, control). We log this as the priority extension.</w:t>
      </w:r>
      <w:r>
        <w:t xml:space="preserve"> </w:t>
      </w:r>
      <w:r>
        <w:t xml:space="preserve">(v) The LLM-derived labels are not bit-reproducible under the model alias used; a</w:t>
      </w:r>
      <w:r>
        <w:t xml:space="preserve"> </w:t>
      </w:r>
      <w:r>
        <w:t xml:space="preserve">local, pinned model would fix this and is planned.</w:t>
      </w:r>
    </w:p>
    <w:p>
      <w:pPr>
        <w:pStyle w:val="BodyText"/>
      </w:pPr>
      <w:r>
        <w:rPr>
          <w:b/>
          <w:bCs/>
        </w:rPr>
        <w:t xml:space="preserve">Future work.</w:t>
      </w:r>
      <w:r>
        <w:t xml:space="preserve"> </w:t>
      </w:r>
      <w:r>
        <w:t xml:space="preserve">The natural extensions are: a different-actor placebo; a test of</w:t>
      </w:r>
      <w:r>
        <w:t xml:space="preserve"> </w:t>
      </w:r>
      <w:r>
        <w:t xml:space="preserve">whether the volatility signal is monetisable through an instrument matched to it</w:t>
      </w:r>
      <w:r>
        <w:t xml:space="preserve"> </w:t>
      </w:r>
      <w:r>
        <w:t xml:space="preserve">(e.g. options/variance products, absent from our spot data); and — once a 24/7</w:t>
      </w:r>
      <w:r>
        <w:t xml:space="preserve"> </w:t>
      </w:r>
      <w:r>
        <w:t xml:space="preserve">collector has grown the directive/escalation event set well beyond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 — a</w:t>
      </w:r>
      <w:r>
        <w:t xml:space="preserve"> </w:t>
      </w:r>
      <w:r>
        <w:t xml:space="preserve">proper test of whether such posts are predictable in advance from prevailing</w:t>
      </w:r>
      <w:r>
        <w:t xml:space="preserve"> </w:t>
      </w:r>
      <w:r>
        <w:t xml:space="preserve">conditions.</w:t>
      </w:r>
    </w:p>
    <w:p>
      <w:r>
        <w:pict>
          <v:rect style="width:0;height:1.5pt" o:hralign="center" o:hrstd="t" o:hr="t"/>
        </w:pict>
      </w:r>
    </w:p>
    <w:bookmarkEnd w:id="21"/>
    <w:bookmarkStart w:id="22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A sitting head of state’s social-media posts, when they concern markets, are</w:t>
      </w:r>
      <w:r>
        <w:t xml:space="preserve"> </w:t>
      </w:r>
      <w:r>
        <w:t xml:space="preserve">followed by a modest, robust, content-specific increase in short-horizon (1–4</w:t>
      </w:r>
      <w:r>
        <w:t xml:space="preserve"> </w:t>
      </w:r>
      <w:r>
        <w:t xml:space="preserve">hour) cryptocurrency volatility, but not by predictable return direction, and not</w:t>
      </w:r>
      <w:r>
        <w:t xml:space="preserve"> </w:t>
      </w:r>
      <w:r>
        <w:t xml:space="preserve">by a tradeable edge after costs. The widely reported</w:t>
      </w:r>
      <w:r>
        <w:t xml:space="preserve"> </w:t>
      </w:r>
      <w:r>
        <w:t xml:space="preserve">“buy”</w:t>
      </w:r>
      <w:r>
        <w:t xml:space="preserve"> </w:t>
      </w:r>
      <w:r>
        <w:t xml:space="preserve">directives are a</w:t>
      </w:r>
      <w:r>
        <w:t xml:space="preserve"> </w:t>
      </w:r>
      <w:r>
        <w:t xml:space="preserve">compelling but statistically thin case study, not an edge. The result is a careful</w:t>
      </w:r>
      <w:r>
        <w:t xml:space="preserve"> </w:t>
      </w:r>
      <w:r>
        <w:rPr>
          <w:i/>
          <w:iCs/>
        </w:rPr>
        <w:t xml:space="preserve">measurement</w:t>
      </w:r>
      <w:r>
        <w:t xml:space="preserve"> </w:t>
      </w:r>
      <w:r>
        <w:t xml:space="preserve">rather than a strategy — which is, given the data, the honest place</w:t>
      </w:r>
      <w:r>
        <w:t xml:space="preserve"> </w:t>
      </w:r>
      <w:r>
        <w:t xml:space="preserve">to stop.</w:t>
      </w:r>
    </w:p>
    <w:p>
      <w:r>
        <w:pict>
          <v:rect style="width:0;height:1.5pt" o:hralign="center" o:hrstd="t" o:hr="t"/>
        </w:pict>
      </w:r>
    </w:p>
    <w:bookmarkEnd w:id="22"/>
    <w:bookmarkStart w:id="23" w:name="reproducibility-disclosure"/>
    <w:p>
      <w:pPr>
        <w:pStyle w:val="Heading2"/>
      </w:pPr>
      <w:r>
        <w:t xml:space="preserve">Reproducibility &amp; disclosure</w:t>
      </w:r>
    </w:p>
    <w:p>
      <w:pPr>
        <w:pStyle w:val="FirstParagraph"/>
      </w:pPr>
      <w:r>
        <w:t xml:space="preserve">All code, the pre-registration and its amendment, the verified citation set, and a</w:t>
      </w:r>
      <w:r>
        <w:t xml:space="preserve"> </w:t>
      </w:r>
      <w:r>
        <w:t xml:space="preserve">dated work-log of every decision are version-controlled in the project repository;</w:t>
      </w:r>
      <w:r>
        <w:t xml:space="preserve"> </w:t>
      </w:r>
      <w:r>
        <w:t xml:space="preserve">the frozen signal label set and pinned post-archive snapshot are recorded with</w:t>
      </w:r>
      <w:r>
        <w:t xml:space="preserve"> </w:t>
      </w:r>
      <w:r>
        <w:t xml:space="preserve">SHA-256 hashes in a signal manifest. Analyses use a fixed random seed. The research</w:t>
      </w:r>
      <w:r>
        <w:t xml:space="preserve"> </w:t>
      </w:r>
      <w:r>
        <w:t xml:space="preserve">was conducted with substantial AI coding and analysis assistance; per standard</w:t>
      </w:r>
      <w:r>
        <w:t xml:space="preserve"> </w:t>
      </w:r>
      <w:r>
        <w:t xml:space="preserve">journal policy, AI systems are not listed as authors, and their role is disclosed</w:t>
      </w:r>
      <w:r>
        <w:t xml:space="preserve"> </w:t>
      </w:r>
      <w:r>
        <w:t xml:space="preserve">here and documented in full in the repository’s work-log.</w:t>
      </w:r>
      <w:r>
        <w:t xml:space="preserve"> </w:t>
      </w:r>
      <w:r>
        <w:rPr>
          <w:i/>
          <w:iCs/>
        </w:rPr>
        <w:t xml:space="preserve">[Author names,</w:t>
      </w:r>
      <w:r>
        <w:rPr>
          <w:i/>
          <w:iCs/>
        </w:rPr>
        <w:t xml:space="preserve"> </w:t>
      </w:r>
      <w:r>
        <w:rPr>
          <w:i/>
          <w:iCs/>
        </w:rPr>
        <w:t xml:space="preserve">affiliations, funding, and competing-interest statements to be completed.]</w:t>
      </w:r>
    </w:p>
    <w:bookmarkEnd w:id="23"/>
    <w:bookmarkStart w:id="24" w:name="X3d5f1f71b2adada82525050ebb557c67b29a96c"/>
    <w:p>
      <w:pPr>
        <w:pStyle w:val="Heading2"/>
      </w:pPr>
      <w:r>
        <w:t xml:space="preserve">References (working list — see RELATED_WORK_VERIFIED.md for the full annotated set)</w:t>
      </w:r>
    </w:p>
    <w:p>
      <w:pPr>
        <w:pStyle w:val="Compact"/>
        <w:numPr>
          <w:ilvl w:val="0"/>
          <w:numId w:val="1003"/>
        </w:numPr>
      </w:pPr>
      <w:r>
        <w:t xml:space="preserve">Born, J. A., Myers, D. H. &amp; Clark, W. J. (2017). Trump tweets and the efficient</w:t>
      </w:r>
      <w:r>
        <w:t xml:space="preserve"> </w:t>
      </w:r>
      <w:r>
        <w:t xml:space="preserve">market hypothesis.</w:t>
      </w:r>
      <w:r>
        <w:t xml:space="preserve"> </w:t>
      </w:r>
      <w:r>
        <w:rPr>
          <w:i/>
          <w:iCs/>
        </w:rPr>
        <w:t xml:space="preserve">Algorithmic Finance</w:t>
      </w:r>
      <w:r>
        <w:t xml:space="preserve">, 6(3–4), 103–109.</w:t>
      </w:r>
    </w:p>
    <w:p>
      <w:pPr>
        <w:pStyle w:val="Compact"/>
        <w:numPr>
          <w:ilvl w:val="0"/>
          <w:numId w:val="1003"/>
        </w:numPr>
      </w:pPr>
      <w:r>
        <w:t xml:space="preserve">Burggraf, T., Fendel, R. &amp; Huynh, T. L. D. (2020). Political news and stock</w:t>
      </w:r>
      <w:r>
        <w:t xml:space="preserve"> </w:t>
      </w:r>
      <w:r>
        <w:t xml:space="preserve">prices: evidence from Trump’s trade war.</w:t>
      </w:r>
      <w:r>
        <w:t xml:space="preserve"> </w:t>
      </w:r>
      <w:r>
        <w:rPr>
          <w:i/>
          <w:iCs/>
        </w:rPr>
        <w:t xml:space="preserve">Applied Economics Letters</w:t>
      </w:r>
      <w:r>
        <w:t xml:space="preserve">, 27(18).</w:t>
      </w:r>
    </w:p>
    <w:p>
      <w:pPr>
        <w:pStyle w:val="Compact"/>
        <w:numPr>
          <w:ilvl w:val="0"/>
          <w:numId w:val="1003"/>
        </w:numPr>
      </w:pPr>
      <w:r>
        <w:t xml:space="preserve">Gjerstad, P., Meyn, P. F., Molnár, P. &amp; Næss, T. D. (2021). Do President Trump’s</w:t>
      </w:r>
      <w:r>
        <w:t xml:space="preserve"> </w:t>
      </w:r>
      <w:r>
        <w:t xml:space="preserve">tweets affect financial markets?</w:t>
      </w:r>
      <w:r>
        <w:t xml:space="preserve"> </w:t>
      </w:r>
      <w:r>
        <w:rPr>
          <w:i/>
          <w:iCs/>
        </w:rPr>
        <w:t xml:space="preserve">Decision Support Systems</w:t>
      </w:r>
      <w:r>
        <w:t xml:space="preserve">, 147, 113577.</w:t>
      </w:r>
    </w:p>
    <w:p>
      <w:pPr>
        <w:pStyle w:val="Compact"/>
        <w:numPr>
          <w:ilvl w:val="0"/>
          <w:numId w:val="1003"/>
        </w:numPr>
      </w:pPr>
      <w:r>
        <w:t xml:space="preserve">Klaus, J. &amp; Koser, C. (2021). Measuring Trump: the Volfefe Index and its impact</w:t>
      </w:r>
      <w:r>
        <w:t xml:space="preserve"> </w:t>
      </w:r>
      <w:r>
        <w:t xml:space="preserve">on European financial markets.</w:t>
      </w:r>
      <w:r>
        <w:t xml:space="preserve"> </w:t>
      </w:r>
      <w:r>
        <w:rPr>
          <w:i/>
          <w:iCs/>
        </w:rPr>
        <w:t xml:space="preserve">Finance Research Letters</w:t>
      </w:r>
      <w:r>
        <w:t xml:space="preserve">, 38, 101447.</w:t>
      </w:r>
    </w:p>
    <w:p>
      <w:pPr>
        <w:pStyle w:val="Compact"/>
        <w:numPr>
          <w:ilvl w:val="0"/>
          <w:numId w:val="1003"/>
        </w:numPr>
      </w:pPr>
      <w:r>
        <w:t xml:space="preserve">Krause, D. (2025).</w:t>
      </w:r>
      <w:r>
        <w:t xml:space="preserve"> </w:t>
      </w:r>
      <w:r>
        <w:rPr>
          <w:i/>
          <w:iCs/>
        </w:rPr>
        <w:t xml:space="preserve">Trump-Era Cryptocurrency Policy Events and Bitcoin Returns</w:t>
      </w:r>
      <w:r>
        <w:t xml:space="preserve">;</w:t>
      </w:r>
      <w:r>
        <w:t xml:space="preserve"> </w:t>
      </w:r>
      <w:r>
        <w:rPr>
          <w:i/>
          <w:iCs/>
        </w:rPr>
        <w:t xml:space="preserve">Trump, Tokens, and Tailwinds</w:t>
      </w:r>
      <w:r>
        <w:t xml:space="preserve">;</w:t>
      </w:r>
      <w:r>
        <w:t xml:space="preserve"> </w:t>
      </w:r>
      <w:r>
        <w:rPr>
          <w:i/>
          <w:iCs/>
        </w:rPr>
        <w:t xml:space="preserve">Tariffs, Tokens, and Turmoil</w:t>
      </w:r>
      <w:r>
        <w:t xml:space="preserve"> </w:t>
      </w:r>
      <w:r>
        <w:t xml:space="preserve">(SSRN working papers).</w:t>
      </w:r>
    </w:p>
    <w:p>
      <w:pPr>
        <w:pStyle w:val="Compact"/>
        <w:numPr>
          <w:ilvl w:val="0"/>
          <w:numId w:val="1003"/>
        </w:numPr>
      </w:pPr>
      <w:r>
        <w:t xml:space="preserve">Nishimura, Y., Dong, X. &amp; Sun, B. (2021). Trump’s tweets: sentiment, stock market</w:t>
      </w:r>
      <w:r>
        <w:t xml:space="preserve"> </w:t>
      </w:r>
      <w:r>
        <w:t xml:space="preserve">volatility, and jumps.</w:t>
      </w:r>
      <w:r>
        <w:t xml:space="preserve"> </w:t>
      </w:r>
      <w:r>
        <w:rPr>
          <w:i/>
          <w:iCs/>
        </w:rPr>
        <w:t xml:space="preserve">Journal of Financial Research</w:t>
      </w:r>
      <w:r>
        <w:t xml:space="preserve">, 44(3), 497–512.</w:t>
      </w:r>
    </w:p>
    <w:p>
      <w:pPr>
        <w:pStyle w:val="Compact"/>
        <w:numPr>
          <w:ilvl w:val="0"/>
          <w:numId w:val="1003"/>
        </w:numPr>
      </w:pPr>
      <w:r>
        <w:t xml:space="preserve">Perico Ortiz, D. (2023). Economic policy statements, social media, and stock</w:t>
      </w:r>
      <w:r>
        <w:t xml:space="preserve"> </w:t>
      </w:r>
      <w:r>
        <w:t xml:space="preserve">market uncertainty.</w:t>
      </w:r>
      <w:r>
        <w:t xml:space="preserve"> </w:t>
      </w:r>
      <w:r>
        <w:rPr>
          <w:i/>
          <w:iCs/>
        </w:rPr>
        <w:t xml:space="preserve">Journal of Economics and Finance</w:t>
      </w:r>
      <w:r>
        <w:t xml:space="preserve">, 47, 333–367.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 as Events: Intraday Cryptocurrency Volatility Around a Head of State’s Social-Media Communications</dc:title>
  <dc:creator>[Author name and affiliation — to complete]</dc:creator>
  <cp:keywords/>
  <dcterms:created xsi:type="dcterms:W3CDTF">2026-06-04T21:10:33Z</dcterms:created>
  <dcterms:modified xsi:type="dcterms:W3CDTF">2026-06-04T21:10:33Z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</Properties>
</file>