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68"/>
        </w:rPr>
        <w:t>PrivateNexus</w:t>
      </w:r>
    </w:p>
    <w:p>
      <w:pPr>
        <w:jc w:val="center"/>
      </w:pPr>
      <w:r>
        <w:rPr>
          <w:b/>
          <w:color w:val="1F2937"/>
          <w:sz w:val="40"/>
        </w:rPr>
        <w:t>Commercial Product Strategy &amp; Monetisation Blueprint</w:t>
      </w:r>
    </w:p>
    <w:p>
      <w:pPr>
        <w:jc w:val="center"/>
      </w:pPr>
      <w:r>
        <w:rPr>
          <w:i/>
          <w:color w:val="4B5563"/>
          <w:sz w:val="24"/>
        </w:rPr>
        <w:t>From internal operations layer to self-hosted infrastructure operations platform</w:t>
      </w:r>
    </w:p>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F2937"/>
          </w:tcPr>
          <w:p>
            <w:r>
              <w:rPr>
                <w:color w:val="FFFFFF"/>
              </w:rPr>
            </w:r>
            <w:r>
              <w:rPr>
                <w:b/>
                <w:color w:val="FFFFFF"/>
                <w:sz w:val="17"/>
              </w:rPr>
              <w:t>Field</w:t>
            </w:r>
          </w:p>
        </w:tc>
        <w:tc>
          <w:tcPr>
            <w:tcW w:type="dxa" w:w="6624"/>
            <w:vAlign w:val="center"/>
            <w:shd w:fill="1F2937"/>
          </w:tcPr>
          <w:p>
            <w:r>
              <w:rPr>
                <w:color w:val="FFFFFF"/>
              </w:rPr>
            </w:r>
            <w:r>
              <w:rPr>
                <w:b/>
                <w:color w:val="FFFFFF"/>
                <w:sz w:val="17"/>
              </w:rPr>
              <w:t>Value</w:t>
            </w:r>
          </w:p>
        </w:tc>
      </w:tr>
      <w:tr>
        <w:tc>
          <w:tcPr>
            <w:tcW w:type="dxa" w:w="2304"/>
            <w:vAlign w:val="center"/>
          </w:tcPr>
          <w:p>
            <w:r/>
            <w:r>
              <w:rPr>
                <w:b w:val="0"/>
                <w:sz w:val="17"/>
              </w:rPr>
              <w:t>Owner</w:t>
            </w:r>
          </w:p>
        </w:tc>
        <w:tc>
          <w:tcPr>
            <w:tcW w:type="dxa" w:w="6624"/>
            <w:vAlign w:val="center"/>
          </w:tcPr>
          <w:p>
            <w:r/>
            <w:r>
              <w:rPr>
                <w:b w:val="0"/>
                <w:sz w:val="17"/>
              </w:rPr>
              <w:t>House of Trae Group</w:t>
            </w:r>
          </w:p>
        </w:tc>
      </w:tr>
      <w:tr>
        <w:tc>
          <w:tcPr>
            <w:tcW w:type="dxa" w:w="2304"/>
            <w:vAlign w:val="center"/>
          </w:tcPr>
          <w:p>
            <w:r/>
            <w:r>
              <w:rPr>
                <w:b w:val="0"/>
                <w:sz w:val="17"/>
              </w:rPr>
              <w:t>Product</w:t>
            </w:r>
          </w:p>
        </w:tc>
        <w:tc>
          <w:tcPr>
            <w:tcW w:type="dxa" w:w="6624"/>
            <w:vAlign w:val="center"/>
          </w:tcPr>
          <w:p>
            <w:r/>
            <w:r>
              <w:rPr>
                <w:b w:val="0"/>
                <w:sz w:val="17"/>
              </w:rPr>
              <w:t>PrivateNexus</w:t>
            </w:r>
          </w:p>
        </w:tc>
      </w:tr>
      <w:tr>
        <w:tc>
          <w:tcPr>
            <w:tcW w:type="dxa" w:w="2304"/>
            <w:vAlign w:val="center"/>
          </w:tcPr>
          <w:p>
            <w:r/>
            <w:r>
              <w:rPr>
                <w:b w:val="0"/>
                <w:sz w:val="17"/>
              </w:rPr>
              <w:t>Document Type</w:t>
            </w:r>
          </w:p>
        </w:tc>
        <w:tc>
          <w:tcPr>
            <w:tcW w:type="dxa" w:w="6624"/>
            <w:vAlign w:val="center"/>
          </w:tcPr>
          <w:p>
            <w:r/>
            <w:r>
              <w:rPr>
                <w:b w:val="0"/>
                <w:sz w:val="17"/>
              </w:rPr>
              <w:t>Commercial Strategy / Product Positioning</w:t>
            </w:r>
          </w:p>
        </w:tc>
      </w:tr>
      <w:tr>
        <w:tc>
          <w:tcPr>
            <w:tcW w:type="dxa" w:w="2304"/>
            <w:vAlign w:val="center"/>
          </w:tcPr>
          <w:p>
            <w:r/>
            <w:r>
              <w:rPr>
                <w:b w:val="0"/>
                <w:sz w:val="17"/>
              </w:rPr>
              <w:t>Version</w:t>
            </w:r>
          </w:p>
        </w:tc>
        <w:tc>
          <w:tcPr>
            <w:tcW w:type="dxa" w:w="6624"/>
            <w:vAlign w:val="center"/>
          </w:tcPr>
          <w:p>
            <w:r/>
            <w:r>
              <w:rPr>
                <w:b w:val="0"/>
                <w:sz w:val="17"/>
              </w:rPr>
              <w:t>1.0</w:t>
            </w:r>
          </w:p>
        </w:tc>
      </w:tr>
      <w:tr>
        <w:tc>
          <w:tcPr>
            <w:tcW w:type="dxa" w:w="2304"/>
            <w:vAlign w:val="center"/>
          </w:tcPr>
          <w:p>
            <w:r/>
            <w:r>
              <w:rPr>
                <w:b w:val="0"/>
                <w:sz w:val="17"/>
              </w:rPr>
              <w:t>Status</w:t>
            </w:r>
          </w:p>
        </w:tc>
        <w:tc>
          <w:tcPr>
            <w:tcW w:type="dxa" w:w="6624"/>
            <w:vAlign w:val="center"/>
          </w:tcPr>
          <w:p>
            <w:r/>
            <w:r>
              <w:rPr>
                <w:b w:val="0"/>
                <w:sz w:val="17"/>
              </w:rPr>
              <w:t>Draft for Review</w:t>
            </w:r>
          </w:p>
        </w:tc>
      </w:tr>
      <w:tr>
        <w:tc>
          <w:tcPr>
            <w:tcW w:type="dxa" w:w="2304"/>
            <w:vAlign w:val="center"/>
          </w:tcPr>
          <w:p>
            <w:r/>
            <w:r>
              <w:rPr>
                <w:b w:val="0"/>
                <w:sz w:val="17"/>
              </w:rPr>
              <w:t>Classification</w:t>
            </w:r>
          </w:p>
        </w:tc>
        <w:tc>
          <w:tcPr>
            <w:tcW w:type="dxa" w:w="6624"/>
            <w:vAlign w:val="center"/>
          </w:tcPr>
          <w:p>
            <w:r/>
            <w:r>
              <w:rPr>
                <w:b w:val="0"/>
                <w:sz w:val="17"/>
              </w:rPr>
              <w:t>Internal - Strategic</w:t>
            </w:r>
          </w:p>
        </w:tc>
      </w:tr>
    </w:tbl>
    <w:p/>
    <w:tbl>
      <w:tblPr>
        <w:tblStyle w:val="TableGrid"/>
        <w:tblW w:type="auto" w:w="0"/>
        <w:jc w:val="center"/>
        <w:tblLook w:firstColumn="1" w:firstRow="1" w:lastColumn="0" w:lastRow="0" w:noHBand="0" w:noVBand="1" w:val="04A0"/>
      </w:tblPr>
      <w:tblGrid>
        <w:gridCol w:w="10368"/>
      </w:tblGrid>
      <w:tr>
        <w:tc>
          <w:tcPr>
            <w:tcW w:type="dxa" w:w="10368"/>
            <w:shd w:fill="DBEAFE"/>
          </w:tcPr>
          <w:p>
            <w:r/>
            <w:r>
              <w:rPr>
                <w:b/>
                <w:sz w:val="20"/>
              </w:rPr>
              <w:t>Core Positioning</w:t>
            </w:r>
          </w:p>
          <w:p>
            <w:pPr>
              <w:spacing w:after="0"/>
            </w:pPr>
            <w:r>
              <w:t>PrivateNexus should not be positioned as another dashboard. Its strongest commercial angle is operational intelligence for self-hosted and small-business infrastructure: inventory, health, recovery, governance, and safe automation.</w:t>
            </w:r>
          </w:p>
        </w:tc>
      </w:tr>
    </w:tbl>
    <w:p/>
    <w:p>
      <w:r>
        <w:br w:type="page"/>
      </w:r>
    </w:p>
    <w:p>
      <w:pPr>
        <w:pStyle w:val="Heading1"/>
      </w:pPr>
      <w:r>
        <w:t>1. Executive Summary</w:t>
      </w:r>
    </w:p>
    <w:p>
      <w:r>
        <w:t>PrivateNexus is evolving from an internal service portal into a potential commercial infrastructure operations platform. The product opportunity is not in becoming a prettier dashboard, a Portainer clone, or a Proxmox replacement. The real opportunity is in helping operators understand what exists, whether it is healthy, whether it can be recovered, who changed it, and what actions can be taken safely.</w:t>
      </w:r>
    </w:p>
    <w:p>
      <w:r>
        <w:t>The strategic recommendation is to design PrivateNexus as a product from the start, even while it remains primarily used by House of Trae. This means building around tenancy, role-based access, auditable actions, plugin-ready integrations, and recovery intelligence rather than one-off personal infrastructure shortcuts.</w:t>
      </w:r>
    </w:p>
    <w:p>
      <w:pPr>
        <w:pStyle w:val="ListBullet"/>
      </w:pPr>
      <w:r>
        <w:t>Primary near-term audience: House of Trae and businesses operated by the group.</w:t>
      </w:r>
    </w:p>
    <w:p>
      <w:pPr>
        <w:pStyle w:val="ListBullet"/>
      </w:pPr>
      <w:r>
        <w:t>Medium-term audience: future clients, trusted administrators, and small business environments.</w:t>
      </w:r>
    </w:p>
    <w:p>
      <w:pPr>
        <w:pStyle w:val="ListBullet"/>
      </w:pPr>
      <w:r>
        <w:t>Long-term audience: self-hosters, consultants, MSPs, and small businesses needing controlled infrastructure visibility.</w:t>
      </w:r>
    </w:p>
    <w:p>
      <w:pPr>
        <w:pStyle w:val="ListBullet"/>
      </w:pPr>
      <w:r>
        <w:t>Recommended category: Infrastructure Operations Platform (IOP).</w:t>
      </w:r>
    </w:p>
    <w:p>
      <w:pPr>
        <w:pStyle w:val="ListBullet"/>
      </w:pPr>
      <w:r>
        <w:t>Recommended value proposition: visibility, recovery, governance, and safe automation for self-hosted infrastructure.</w:t>
      </w:r>
    </w:p>
    <w:tbl>
      <w:tblPr>
        <w:tblStyle w:val="TableGrid"/>
        <w:tblW w:type="auto" w:w="0"/>
        <w:jc w:val="center"/>
        <w:tblLook w:firstColumn="1" w:firstRow="1" w:lastColumn="0" w:lastRow="0" w:noHBand="0" w:noVBand="1" w:val="04A0"/>
      </w:tblPr>
      <w:tblGrid>
        <w:gridCol w:w="10368"/>
      </w:tblGrid>
      <w:tr>
        <w:tc>
          <w:tcPr>
            <w:tcW w:type="dxa" w:w="10368"/>
            <w:shd w:fill="F0FDF4"/>
          </w:tcPr>
          <w:p>
            <w:r/>
            <w:r>
              <w:rPr>
                <w:b/>
                <w:sz w:val="20"/>
              </w:rPr>
              <w:t>Strategic Thesis</w:t>
            </w:r>
          </w:p>
          <w:p>
            <w:pPr>
              <w:spacing w:after="0"/>
            </w:pPr>
            <w:r>
              <w:t>The market does not need another app launcher. It does need a practical, self-hosted operations layer that can answer: What do we run, is it working, can we restore it, who touched it, and what can we safely automate?</w:t>
            </w:r>
          </w:p>
        </w:tc>
      </w:tr>
    </w:tbl>
    <w:p/>
    <w:p>
      <w:pPr>
        <w:pStyle w:val="Heading1"/>
      </w:pPr>
      <w:r>
        <w:t>2. Product Category and Market Position</w:t>
      </w:r>
    </w:p>
    <w:p>
      <w:r>
        <w:t>PrivateNexus should be positioned above dashboards, container managers, monitoring panels, and hypervisors. It should connect to those tools, extract useful operational information, and present it through a governed control surface.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2937"/>
          </w:tcPr>
          <w:p>
            <w:r>
              <w:rPr>
                <w:color w:val="FFFFFF"/>
              </w:rPr>
            </w:r>
            <w:r>
              <w:rPr>
                <w:b/>
                <w:color w:val="FFFFFF"/>
                <w:sz w:val="17"/>
              </w:rPr>
              <w:t>Tool Type</w:t>
            </w:r>
          </w:p>
        </w:tc>
        <w:tc>
          <w:tcPr>
            <w:tcW w:type="dxa" w:w="3312"/>
            <w:vAlign w:val="center"/>
            <w:shd w:fill="1F2937"/>
          </w:tcPr>
          <w:p>
            <w:r>
              <w:rPr>
                <w:color w:val="FFFFFF"/>
              </w:rPr>
            </w:r>
            <w:r>
              <w:rPr>
                <w:b/>
                <w:color w:val="FFFFFF"/>
                <w:sz w:val="17"/>
              </w:rPr>
              <w:t>What It Does</w:t>
            </w:r>
          </w:p>
        </w:tc>
        <w:tc>
          <w:tcPr>
            <w:tcW w:type="dxa" w:w="4320"/>
            <w:vAlign w:val="center"/>
            <w:shd w:fill="1F2937"/>
          </w:tcPr>
          <w:p>
            <w:r>
              <w:rPr>
                <w:color w:val="FFFFFF"/>
              </w:rPr>
            </w:r>
            <w:r>
              <w:rPr>
                <w:b/>
                <w:color w:val="FFFFFF"/>
                <w:sz w:val="17"/>
              </w:rPr>
              <w:t>Why PrivateNexus Is Different</w:t>
            </w:r>
          </w:p>
        </w:tc>
      </w:tr>
      <w:tr>
        <w:tc>
          <w:tcPr>
            <w:tcW w:type="dxa" w:w="2304"/>
            <w:vAlign w:val="center"/>
          </w:tcPr>
          <w:p>
            <w:r/>
            <w:r>
              <w:rPr>
                <w:b w:val="0"/>
                <w:sz w:val="17"/>
              </w:rPr>
              <w:t>Homepage / Dashboards</w:t>
            </w:r>
          </w:p>
        </w:tc>
        <w:tc>
          <w:tcPr>
            <w:tcW w:type="dxa" w:w="3312"/>
            <w:vAlign w:val="center"/>
          </w:tcPr>
          <w:p>
            <w:r/>
            <w:r>
              <w:rPr>
                <w:b w:val="0"/>
                <w:sz w:val="17"/>
              </w:rPr>
              <w:t>Launch services and display links.</w:t>
            </w:r>
          </w:p>
        </w:tc>
        <w:tc>
          <w:tcPr>
            <w:tcW w:type="dxa" w:w="4320"/>
            <w:vAlign w:val="center"/>
          </w:tcPr>
          <w:p>
            <w:r/>
            <w:r>
              <w:rPr>
                <w:b w:val="0"/>
                <w:sz w:val="17"/>
              </w:rPr>
              <w:t>PrivateNexus adds operational context, recovery state, governance, and safe actions.</w:t>
            </w:r>
          </w:p>
        </w:tc>
      </w:tr>
      <w:tr>
        <w:tc>
          <w:tcPr>
            <w:tcW w:type="dxa" w:w="2304"/>
            <w:vAlign w:val="center"/>
          </w:tcPr>
          <w:p>
            <w:r/>
            <w:r>
              <w:rPr>
                <w:b w:val="0"/>
                <w:sz w:val="17"/>
              </w:rPr>
              <w:t>Portainer</w:t>
            </w:r>
          </w:p>
        </w:tc>
        <w:tc>
          <w:tcPr>
            <w:tcW w:type="dxa" w:w="3312"/>
            <w:vAlign w:val="center"/>
          </w:tcPr>
          <w:p>
            <w:r/>
            <w:r>
              <w:rPr>
                <w:b w:val="0"/>
                <w:sz w:val="17"/>
              </w:rPr>
              <w:t>Container management and Docker operations.</w:t>
            </w:r>
          </w:p>
        </w:tc>
        <w:tc>
          <w:tcPr>
            <w:tcW w:type="dxa" w:w="4320"/>
            <w:vAlign w:val="center"/>
          </w:tcPr>
          <w:p>
            <w:r/>
            <w:r>
              <w:rPr>
                <w:b w:val="0"/>
                <w:sz w:val="17"/>
              </w:rPr>
              <w:t>PrivateNexus should not expose raw container power by default; it wraps approved actions in policy.</w:t>
            </w:r>
          </w:p>
        </w:tc>
      </w:tr>
      <w:tr>
        <w:tc>
          <w:tcPr>
            <w:tcW w:type="dxa" w:w="2304"/>
            <w:vAlign w:val="center"/>
          </w:tcPr>
          <w:p>
            <w:r/>
            <w:r>
              <w:rPr>
                <w:b w:val="0"/>
                <w:sz w:val="17"/>
              </w:rPr>
              <w:t>Grafana / Prometheus</w:t>
            </w:r>
          </w:p>
        </w:tc>
        <w:tc>
          <w:tcPr>
            <w:tcW w:type="dxa" w:w="3312"/>
            <w:vAlign w:val="center"/>
          </w:tcPr>
          <w:p>
            <w:r/>
            <w:r>
              <w:rPr>
                <w:b w:val="0"/>
                <w:sz w:val="17"/>
              </w:rPr>
              <w:t>Metrics, dashboards, and alerting.</w:t>
            </w:r>
          </w:p>
        </w:tc>
        <w:tc>
          <w:tcPr>
            <w:tcW w:type="dxa" w:w="4320"/>
            <w:vAlign w:val="center"/>
          </w:tcPr>
          <w:p>
            <w:r/>
            <w:r>
              <w:rPr>
                <w:b w:val="0"/>
                <w:sz w:val="17"/>
              </w:rPr>
              <w:t>PrivateNexus consumes monitoring signals and translates them into service and recovery readiness.</w:t>
            </w:r>
          </w:p>
        </w:tc>
      </w:tr>
      <w:tr>
        <w:tc>
          <w:tcPr>
            <w:tcW w:type="dxa" w:w="2304"/>
            <w:vAlign w:val="center"/>
          </w:tcPr>
          <w:p>
            <w:r/>
            <w:r>
              <w:rPr>
                <w:b w:val="0"/>
                <w:sz w:val="17"/>
              </w:rPr>
              <w:t>Uptime Kuma</w:t>
            </w:r>
          </w:p>
        </w:tc>
        <w:tc>
          <w:tcPr>
            <w:tcW w:type="dxa" w:w="3312"/>
            <w:vAlign w:val="center"/>
          </w:tcPr>
          <w:p>
            <w:r/>
            <w:r>
              <w:rPr>
                <w:b w:val="0"/>
                <w:sz w:val="17"/>
              </w:rPr>
              <w:t>Availability checks and uptime alerts.</w:t>
            </w:r>
          </w:p>
        </w:tc>
        <w:tc>
          <w:tcPr>
            <w:tcW w:type="dxa" w:w="4320"/>
            <w:vAlign w:val="center"/>
          </w:tcPr>
          <w:p>
            <w:r/>
            <w:r>
              <w:rPr>
                <w:b w:val="0"/>
                <w:sz w:val="17"/>
              </w:rPr>
              <w:t>PrivateNexus can use uptime checks as one input, not the whole operating model.</w:t>
            </w:r>
          </w:p>
        </w:tc>
      </w:tr>
      <w:tr>
        <w:tc>
          <w:tcPr>
            <w:tcW w:type="dxa" w:w="2304"/>
            <w:vAlign w:val="center"/>
          </w:tcPr>
          <w:p>
            <w:r/>
            <w:r>
              <w:rPr>
                <w:b w:val="0"/>
                <w:sz w:val="17"/>
              </w:rPr>
              <w:t>Proxmox</w:t>
            </w:r>
          </w:p>
        </w:tc>
        <w:tc>
          <w:tcPr>
            <w:tcW w:type="dxa" w:w="3312"/>
            <w:vAlign w:val="center"/>
          </w:tcPr>
          <w:p>
            <w:r/>
            <w:r>
              <w:rPr>
                <w:b w:val="0"/>
                <w:sz w:val="17"/>
              </w:rPr>
              <w:t>Virtualization and infrastructure management.</w:t>
            </w:r>
          </w:p>
        </w:tc>
        <w:tc>
          <w:tcPr>
            <w:tcW w:type="dxa" w:w="4320"/>
            <w:vAlign w:val="center"/>
          </w:tcPr>
          <w:p>
            <w:r/>
            <w:r>
              <w:rPr>
                <w:b w:val="0"/>
                <w:sz w:val="17"/>
              </w:rPr>
              <w:t>PrivateNexus should integrate with Proxmox safely, not replace it.</w:t>
            </w:r>
          </w:p>
        </w:tc>
      </w:tr>
      <w:tr>
        <w:tc>
          <w:tcPr>
            <w:tcW w:type="dxa" w:w="2304"/>
            <w:vAlign w:val="center"/>
          </w:tcPr>
          <w:p>
            <w:r/>
            <w:r>
              <w:rPr>
                <w:b w:val="0"/>
                <w:sz w:val="17"/>
              </w:rPr>
              <w:t>Keycloak</w:t>
            </w:r>
          </w:p>
        </w:tc>
        <w:tc>
          <w:tcPr>
            <w:tcW w:type="dxa" w:w="3312"/>
            <w:vAlign w:val="center"/>
          </w:tcPr>
          <w:p>
            <w:r/>
            <w:r>
              <w:rPr>
                <w:b w:val="0"/>
                <w:sz w:val="17"/>
              </w:rPr>
              <w:t>Identity and access management.</w:t>
            </w:r>
          </w:p>
        </w:tc>
        <w:tc>
          <w:tcPr>
            <w:tcW w:type="dxa" w:w="4320"/>
            <w:vAlign w:val="center"/>
          </w:tcPr>
          <w:p>
            <w:r/>
            <w:r>
              <w:rPr>
                <w:b w:val="0"/>
                <w:sz w:val="17"/>
              </w:rPr>
              <w:t>PrivateNexus consumes identity and enforces product-level permissions.</w:t>
            </w:r>
          </w:p>
        </w:tc>
      </w:tr>
    </w:tbl>
    <w:p/>
    <w:p>
      <w:pPr>
        <w:pStyle w:val="Heading1"/>
      </w:pPr>
      <w:r>
        <w:t>3. Core Product Problem</w:t>
      </w:r>
    </w:p>
    <w:p>
      <w:r>
        <w:t>Self-hosted and small-business infrastructure often grows through practical necessity: one service becomes five, five becomes twenty, and eventually the operator relies on memory, scattered notes, and panic during incidents. Existing tools each solve part of the puzzle, but they rarely provide a single operational truth layer.</w:t>
      </w:r>
    </w:p>
    <w:p>
      <w:pPr>
        <w:pStyle w:val="Heading2"/>
      </w:pPr>
      <w:r>
        <w:t>Common Pain Points</w:t>
      </w:r>
    </w:p>
    <w:p>
      <w:pPr>
        <w:pStyle w:val="ListBullet"/>
      </w:pPr>
      <w:r>
        <w:t>Operators do not have a reliable inventory of services, dependencies, domains, and owners.</w:t>
      </w:r>
    </w:p>
    <w:p>
      <w:pPr>
        <w:pStyle w:val="ListBullet"/>
      </w:pPr>
      <w:r>
        <w:t>Backups may exist, but recoverability is often assumed rather than proven.</w:t>
      </w:r>
    </w:p>
    <w:p>
      <w:pPr>
        <w:pStyle w:val="ListBullet"/>
      </w:pPr>
      <w:r>
        <w:t>Monitoring tools report symptoms but rarely explain business or dependency impact.</w:t>
      </w:r>
    </w:p>
    <w:p>
      <w:pPr>
        <w:pStyle w:val="ListBullet"/>
      </w:pPr>
      <w:r>
        <w:t>Infrastructure actions lack approval, auditability, and role boundaries.</w:t>
      </w:r>
    </w:p>
    <w:p>
      <w:pPr>
        <w:pStyle w:val="ListBullet"/>
      </w:pPr>
      <w:r>
        <w:t>Documentation drifts away from reality because it is not connected to live systems.</w:t>
      </w:r>
    </w:p>
    <w:p>
      <w:pPr>
        <w:pStyle w:val="ListBullet"/>
      </w:pPr>
      <w:r>
        <w:t>New services are deployed inconsistently, increasing security and recovery risk.</w:t>
      </w:r>
    </w:p>
    <w:p>
      <w:pPr>
        <w:pStyle w:val="Heading1"/>
      </w:pPr>
      <w:r>
        <w:t>4. Differentiator: Recovery Intelligence</w:t>
      </w:r>
    </w:p>
    <w:p>
      <w:r>
        <w:t>The strongest differentiator is recovery intelligence. Many systems can report that a backup completed. PrivateNexus should go further and evaluate whether that backup is useful, trusted, current, complete, dependency-aware, and actually restorable.</w:t>
      </w:r>
    </w:p>
    <w:tbl>
      <w:tblPr>
        <w:tblStyle w:val="TableGrid"/>
        <w:tblW w:type="auto" w:w="0"/>
        <w:jc w:val="center"/>
        <w:tblLook w:firstColumn="1" w:firstRow="1" w:lastColumn="0" w:lastRow="0" w:noHBand="0" w:noVBand="1" w:val="04A0"/>
      </w:tblPr>
      <w:tblGrid>
        <w:gridCol w:w="5184"/>
        <w:gridCol w:w="5184"/>
      </w:tblGrid>
      <w:tr>
        <w:tc>
          <w:tcPr>
            <w:tcW w:type="dxa" w:w="3744"/>
            <w:vAlign w:val="center"/>
            <w:shd w:fill="1F2937"/>
          </w:tcPr>
          <w:p>
            <w:r>
              <w:rPr>
                <w:color w:val="FFFFFF"/>
              </w:rPr>
            </w:r>
            <w:r>
              <w:rPr>
                <w:b/>
                <w:color w:val="FFFFFF"/>
                <w:sz w:val="17"/>
              </w:rPr>
              <w:t>Basic Backup Tool</w:t>
            </w:r>
          </w:p>
        </w:tc>
        <w:tc>
          <w:tcPr>
            <w:tcW w:type="dxa" w:w="6048"/>
            <w:vAlign w:val="center"/>
            <w:shd w:fill="1F2937"/>
          </w:tcPr>
          <w:p>
            <w:r>
              <w:rPr>
                <w:color w:val="FFFFFF"/>
              </w:rPr>
            </w:r>
            <w:r>
              <w:rPr>
                <w:b/>
                <w:color w:val="FFFFFF"/>
                <w:sz w:val="17"/>
              </w:rPr>
              <w:t>PrivateNexus Recovery Intelligence</w:t>
            </w:r>
          </w:p>
        </w:tc>
      </w:tr>
      <w:tr>
        <w:tc>
          <w:tcPr>
            <w:tcW w:type="dxa" w:w="3744"/>
            <w:vAlign w:val="center"/>
          </w:tcPr>
          <w:p>
            <w:r/>
            <w:r>
              <w:rPr>
                <w:b w:val="0"/>
                <w:sz w:val="17"/>
              </w:rPr>
              <w:t>Backup succeeded.</w:t>
            </w:r>
          </w:p>
        </w:tc>
        <w:tc>
          <w:tcPr>
            <w:tcW w:type="dxa" w:w="6048"/>
            <w:vAlign w:val="center"/>
          </w:tcPr>
          <w:p>
            <w:r/>
            <w:r>
              <w:rPr>
                <w:b w:val="0"/>
                <w:sz w:val="17"/>
              </w:rPr>
              <w:t>Backup is labelled, trusted, recent, dependency-aware, and has a recovery readiness score.</w:t>
            </w:r>
          </w:p>
        </w:tc>
      </w:tr>
      <w:tr>
        <w:tc>
          <w:tcPr>
            <w:tcW w:type="dxa" w:w="3744"/>
            <w:vAlign w:val="center"/>
          </w:tcPr>
          <w:p>
            <w:r/>
            <w:r>
              <w:rPr>
                <w:b w:val="0"/>
                <w:sz w:val="17"/>
              </w:rPr>
              <w:t>Retention policy exists.</w:t>
            </w:r>
          </w:p>
        </w:tc>
        <w:tc>
          <w:tcPr>
            <w:tcW w:type="dxa" w:w="6048"/>
            <w:vAlign w:val="center"/>
          </w:tcPr>
          <w:p>
            <w:r/>
            <w:r>
              <w:rPr>
                <w:b w:val="0"/>
                <w:sz w:val="17"/>
              </w:rPr>
              <w:t>Retention is explained against service criticality and known-good checkpoints.</w:t>
            </w:r>
          </w:p>
        </w:tc>
      </w:tr>
      <w:tr>
        <w:tc>
          <w:tcPr>
            <w:tcW w:type="dxa" w:w="3744"/>
            <w:vAlign w:val="center"/>
          </w:tcPr>
          <w:p>
            <w:r/>
            <w:r>
              <w:rPr>
                <w:b w:val="0"/>
                <w:sz w:val="17"/>
              </w:rPr>
              <w:t>Restore point exists.</w:t>
            </w:r>
          </w:p>
        </w:tc>
        <w:tc>
          <w:tcPr>
            <w:tcW w:type="dxa" w:w="6048"/>
            <w:vAlign w:val="center"/>
          </w:tcPr>
          <w:p>
            <w:r/>
            <w:r>
              <w:rPr>
                <w:b w:val="0"/>
                <w:sz w:val="17"/>
              </w:rPr>
              <w:t>Restore plan explains order, prerequisites, risk, and expected impact.</w:t>
            </w:r>
          </w:p>
        </w:tc>
      </w:tr>
      <w:tr>
        <w:tc>
          <w:tcPr>
            <w:tcW w:type="dxa" w:w="3744"/>
            <w:vAlign w:val="center"/>
          </w:tcPr>
          <w:p>
            <w:r/>
            <w:r>
              <w:rPr>
                <w:b w:val="0"/>
                <w:sz w:val="17"/>
              </w:rPr>
              <w:t>Manual restore process.</w:t>
            </w:r>
          </w:p>
        </w:tc>
        <w:tc>
          <w:tcPr>
            <w:tcW w:type="dxa" w:w="6048"/>
            <w:vAlign w:val="center"/>
          </w:tcPr>
          <w:p>
            <w:r/>
            <w:r>
              <w:rPr>
                <w:b w:val="0"/>
                <w:sz w:val="17"/>
              </w:rPr>
              <w:t>Restore simulator and validation checks guide the operator before action.</w:t>
            </w:r>
          </w:p>
        </w:tc>
      </w:tr>
    </w:tbl>
    <w:p/>
    <w:tbl>
      <w:tblPr>
        <w:tblStyle w:val="TableGrid"/>
        <w:tblW w:type="auto" w:w="0"/>
        <w:jc w:val="center"/>
        <w:tblLook w:firstColumn="1" w:firstRow="1" w:lastColumn="0" w:lastRow="0" w:noHBand="0" w:noVBand="1" w:val="04A0"/>
      </w:tblPr>
      <w:tblGrid>
        <w:gridCol w:w="10368"/>
      </w:tblGrid>
      <w:tr>
        <w:tc>
          <w:tcPr>
            <w:tcW w:type="dxa" w:w="10368"/>
            <w:shd w:fill="FEF3C7"/>
          </w:tcPr>
          <w:p>
            <w:r/>
            <w:r>
              <w:rPr>
                <w:b/>
                <w:sz w:val="20"/>
              </w:rPr>
              <w:t>Commercial Wedge</w:t>
            </w:r>
          </w:p>
          <w:p>
            <w:pPr>
              <w:spacing w:after="0"/>
            </w:pPr>
            <w:r>
              <w:t>Recovery intelligence is the feature area most likely to separate PrivateNexus from crowded dashboard and container-management markets.</w:t>
            </w:r>
          </w:p>
        </w:tc>
      </w:tr>
    </w:tbl>
    <w:p/>
    <w:p>
      <w:pPr>
        <w:pStyle w:val="Heading1"/>
      </w:pPr>
      <w:r>
        <w:t>5. Target Customers and User Segments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2937"/>
          </w:tcPr>
          <w:p>
            <w:r>
              <w:rPr>
                <w:color w:val="FFFFFF"/>
              </w:rPr>
            </w:r>
            <w:r>
              <w:rPr>
                <w:b/>
                <w:color w:val="FFFFFF"/>
                <w:sz w:val="17"/>
              </w:rPr>
              <w:t>Segment</w:t>
            </w:r>
          </w:p>
        </w:tc>
        <w:tc>
          <w:tcPr>
            <w:tcW w:type="dxa" w:w="4752"/>
            <w:vAlign w:val="center"/>
            <w:shd w:fill="1F2937"/>
          </w:tcPr>
          <w:p>
            <w:r>
              <w:rPr>
                <w:color w:val="FFFFFF"/>
              </w:rPr>
            </w:r>
            <w:r>
              <w:rPr>
                <w:b/>
                <w:color w:val="FFFFFF"/>
                <w:sz w:val="17"/>
              </w:rPr>
              <w:t>Needs</w:t>
            </w:r>
          </w:p>
        </w:tc>
        <w:tc>
          <w:tcPr>
            <w:tcW w:type="dxa" w:w="3024"/>
            <w:vAlign w:val="center"/>
            <w:shd w:fill="1F2937"/>
          </w:tcPr>
          <w:p>
            <w:r>
              <w:rPr>
                <w:color w:val="FFFFFF"/>
              </w:rPr>
            </w:r>
            <w:r>
              <w:rPr>
                <w:b/>
                <w:color w:val="FFFFFF"/>
                <w:sz w:val="17"/>
              </w:rPr>
              <w:t>Commercial Potential</w:t>
            </w:r>
          </w:p>
        </w:tc>
      </w:tr>
      <w:tr>
        <w:tc>
          <w:tcPr>
            <w:tcW w:type="dxa" w:w="2448"/>
            <w:vAlign w:val="center"/>
          </w:tcPr>
          <w:p>
            <w:r/>
            <w:r>
              <w:rPr>
                <w:b w:val="0"/>
                <w:sz w:val="17"/>
              </w:rPr>
              <w:t>House of Trae / Internal Businesses</w:t>
            </w:r>
          </w:p>
        </w:tc>
        <w:tc>
          <w:tcPr>
            <w:tcW w:type="dxa" w:w="4752"/>
            <w:vAlign w:val="center"/>
          </w:tcPr>
          <w:p>
            <w:r/>
            <w:r>
              <w:rPr>
                <w:b w:val="0"/>
                <w:sz w:val="17"/>
              </w:rPr>
              <w:t>Central access, consistent operations, visibility, recovery, and governance.</w:t>
            </w:r>
          </w:p>
        </w:tc>
        <w:tc>
          <w:tcPr>
            <w:tcW w:type="dxa" w:w="3024"/>
            <w:vAlign w:val="center"/>
          </w:tcPr>
          <w:p>
            <w:r/>
            <w:r>
              <w:rPr>
                <w:b w:val="0"/>
                <w:sz w:val="17"/>
              </w:rPr>
              <w:t>Initial proving ground and reference implementation.</w:t>
            </w:r>
          </w:p>
        </w:tc>
      </w:tr>
      <w:tr>
        <w:tc>
          <w:tcPr>
            <w:tcW w:type="dxa" w:w="2448"/>
            <w:vAlign w:val="center"/>
          </w:tcPr>
          <w:p>
            <w:r/>
            <w:r>
              <w:rPr>
                <w:b w:val="0"/>
                <w:sz w:val="17"/>
              </w:rPr>
              <w:t>Small Businesses</w:t>
            </w:r>
          </w:p>
        </w:tc>
        <w:tc>
          <w:tcPr>
            <w:tcW w:type="dxa" w:w="4752"/>
            <w:vAlign w:val="center"/>
          </w:tcPr>
          <w:p>
            <w:r/>
            <w:r>
              <w:rPr>
                <w:b w:val="0"/>
                <w:sz w:val="17"/>
              </w:rPr>
              <w:t>Practical infrastructure management without enterprise complexity.</w:t>
            </w:r>
          </w:p>
        </w:tc>
        <w:tc>
          <w:tcPr>
            <w:tcW w:type="dxa" w:w="3024"/>
            <w:vAlign w:val="center"/>
          </w:tcPr>
          <w:p>
            <w:r/>
            <w:r>
              <w:rPr>
                <w:b w:val="0"/>
                <w:sz w:val="17"/>
              </w:rPr>
              <w:t>Paid professional tier or managed support.</w:t>
            </w:r>
          </w:p>
        </w:tc>
      </w:tr>
      <w:tr>
        <w:tc>
          <w:tcPr>
            <w:tcW w:type="dxa" w:w="2448"/>
            <w:vAlign w:val="center"/>
          </w:tcPr>
          <w:p>
            <w:r/>
            <w:r>
              <w:rPr>
                <w:b w:val="0"/>
                <w:sz w:val="17"/>
              </w:rPr>
              <w:t>MSPs / Consultants</w:t>
            </w:r>
          </w:p>
        </w:tc>
        <w:tc>
          <w:tcPr>
            <w:tcW w:type="dxa" w:w="4752"/>
            <w:vAlign w:val="center"/>
          </w:tcPr>
          <w:p>
            <w:r/>
            <w:r>
              <w:rPr>
                <w:b w:val="0"/>
                <w:sz w:val="17"/>
              </w:rPr>
              <w:t>Multi-tenant views, reporting, audit history, and client separation.</w:t>
            </w:r>
          </w:p>
        </w:tc>
        <w:tc>
          <w:tcPr>
            <w:tcW w:type="dxa" w:w="3024"/>
            <w:vAlign w:val="center"/>
          </w:tcPr>
          <w:p>
            <w:r/>
            <w:r>
              <w:rPr>
                <w:b w:val="0"/>
                <w:sz w:val="17"/>
              </w:rPr>
              <w:t>Strong professional edition candidate.</w:t>
            </w:r>
          </w:p>
        </w:tc>
      </w:tr>
      <w:tr>
        <w:tc>
          <w:tcPr>
            <w:tcW w:type="dxa" w:w="2448"/>
            <w:vAlign w:val="center"/>
          </w:tcPr>
          <w:p>
            <w:r/>
            <w:r>
              <w:rPr>
                <w:b w:val="0"/>
                <w:sz w:val="17"/>
              </w:rPr>
              <w:t>Advanced Self-Hosters</w:t>
            </w:r>
          </w:p>
        </w:tc>
        <w:tc>
          <w:tcPr>
            <w:tcW w:type="dxa" w:w="4752"/>
            <w:vAlign w:val="center"/>
          </w:tcPr>
          <w:p>
            <w:r/>
            <w:r>
              <w:rPr>
                <w:b w:val="0"/>
                <w:sz w:val="17"/>
              </w:rPr>
              <w:t>Service visibility, backup confidence, and controlled automation.</w:t>
            </w:r>
          </w:p>
        </w:tc>
        <w:tc>
          <w:tcPr>
            <w:tcW w:type="dxa" w:w="3024"/>
            <w:vAlign w:val="center"/>
          </w:tcPr>
          <w:p>
            <w:r/>
            <w:r>
              <w:rPr>
                <w:b w:val="0"/>
                <w:sz w:val="17"/>
              </w:rPr>
              <w:t>Community adoption and feedback engine.</w:t>
            </w:r>
          </w:p>
        </w:tc>
      </w:tr>
      <w:tr>
        <w:tc>
          <w:tcPr>
            <w:tcW w:type="dxa" w:w="2448"/>
            <w:vAlign w:val="center"/>
          </w:tcPr>
          <w:p>
            <w:r/>
            <w:r>
              <w:rPr>
                <w:b w:val="0"/>
                <w:sz w:val="17"/>
              </w:rPr>
              <w:t>Future Hosted Customers</w:t>
            </w:r>
          </w:p>
        </w:tc>
        <w:tc>
          <w:tcPr>
            <w:tcW w:type="dxa" w:w="4752"/>
            <w:vAlign w:val="center"/>
          </w:tcPr>
          <w:p>
            <w:r/>
            <w:r>
              <w:rPr>
                <w:b w:val="0"/>
                <w:sz w:val="17"/>
              </w:rPr>
              <w:t>Managed control plane with lightweight agents.</w:t>
            </w:r>
          </w:p>
        </w:tc>
        <w:tc>
          <w:tcPr>
            <w:tcW w:type="dxa" w:w="3024"/>
            <w:vAlign w:val="center"/>
          </w:tcPr>
          <w:p>
            <w:r/>
            <w:r>
              <w:rPr>
                <w:b w:val="0"/>
                <w:sz w:val="17"/>
              </w:rPr>
              <w:t>Long-term recurring revenue path.</w:t>
            </w:r>
          </w:p>
        </w:tc>
      </w:tr>
    </w:tbl>
    <w:p/>
    <w:p>
      <w:pPr>
        <w:pStyle w:val="Heading1"/>
      </w:pPr>
      <w:r>
        <w:t>6. Product Principles for Commercial Readiness</w:t>
      </w:r>
    </w:p>
    <w:p>
      <w:pPr>
        <w:pStyle w:val="ListNumber"/>
      </w:pPr>
      <w:r>
        <w:t>Infrastructure agnostic: support Docker first, but keep the model open for Podman, Proxmox, LXC, Kubernetes, bare metal, and hosted services.</w:t>
      </w:r>
    </w:p>
    <w:p>
      <w:pPr>
        <w:pStyle w:val="ListNumber"/>
      </w:pPr>
      <w:r>
        <w:t>No direct root dependency: dangerous actions must be mediated through agents, APIs, scoped tokens, and policy controls.</w:t>
      </w:r>
    </w:p>
    <w:p>
      <w:pPr>
        <w:pStyle w:val="ListNumber"/>
      </w:pPr>
      <w:r>
        <w:t>Tenant-aware from day one: House of Trae may be the first tenant, but the data model should support future businesses and clients.</w:t>
      </w:r>
    </w:p>
    <w:p>
      <w:pPr>
        <w:pStyle w:val="ListNumber"/>
      </w:pPr>
      <w:r>
        <w:t>Identity-first: Keycloak integration should be treated as a first-class product dependency for serious deployments.</w:t>
      </w:r>
    </w:p>
    <w:p>
      <w:pPr>
        <w:pStyle w:val="ListNumber"/>
      </w:pPr>
      <w:r>
        <w:t>Recovery-first: backup and restore confidence should remain the flagship differentiator.</w:t>
      </w:r>
    </w:p>
    <w:p>
      <w:pPr>
        <w:pStyle w:val="ListNumber"/>
      </w:pPr>
      <w:r>
        <w:t>Open-core ready: community usefulness should not block professional monetisation later.</w:t>
      </w:r>
    </w:p>
    <w:p>
      <w:pPr>
        <w:pStyle w:val="ListNumber"/>
      </w:pPr>
      <w:r>
        <w:t>Safe automation over raw control: actions should be approved, logged, restricted, and reversible where possible.</w:t>
      </w:r>
    </w:p>
    <w:p>
      <w:pPr>
        <w:pStyle w:val="Heading1"/>
      </w:pPr>
      <w:r>
        <w:t>7. Revenue Ladder</w:t>
      </w:r>
    </w:p>
    <w:p>
      <w:r>
        <w:t>The monetisation path should be staged. Revenue should not be forced before the product has proven value internally. The recommended path is open-core with a professional layer and optional managed edition later.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shd w:fill="1F2937"/>
          </w:tcPr>
          <w:p>
            <w:r>
              <w:rPr>
                <w:color w:val="FFFFFF"/>
              </w:rPr>
            </w:r>
            <w:r>
              <w:rPr>
                <w:b/>
                <w:color w:val="FFFFFF"/>
                <w:sz w:val="17"/>
              </w:rPr>
              <w:t>Stage</w:t>
            </w:r>
          </w:p>
        </w:tc>
        <w:tc>
          <w:tcPr>
            <w:tcW w:type="dxa" w:w="2448"/>
            <w:vAlign w:val="center"/>
            <w:shd w:fill="1F2937"/>
          </w:tcPr>
          <w:p>
            <w:r>
              <w:rPr>
                <w:color w:val="FFFFFF"/>
              </w:rPr>
            </w:r>
            <w:r>
              <w:rPr>
                <w:b/>
                <w:color w:val="FFFFFF"/>
                <w:sz w:val="17"/>
              </w:rPr>
              <w:t>Offering</w:t>
            </w:r>
          </w:p>
        </w:tc>
        <w:tc>
          <w:tcPr>
            <w:tcW w:type="dxa" w:w="3312"/>
            <w:vAlign w:val="center"/>
            <w:shd w:fill="1F2937"/>
          </w:tcPr>
          <w:p>
            <w:r>
              <w:rPr>
                <w:color w:val="FFFFFF"/>
              </w:rPr>
            </w:r>
            <w:r>
              <w:rPr>
                <w:b/>
                <w:color w:val="FFFFFF"/>
                <w:sz w:val="17"/>
              </w:rPr>
              <w:t>Audience</w:t>
            </w:r>
          </w:p>
        </w:tc>
        <w:tc>
          <w:tcPr>
            <w:tcW w:type="dxa" w:w="3312"/>
            <w:vAlign w:val="center"/>
            <w:shd w:fill="1F2937"/>
          </w:tcPr>
          <w:p>
            <w:r>
              <w:rPr>
                <w:color w:val="FFFFFF"/>
              </w:rPr>
            </w:r>
            <w:r>
              <w:rPr>
                <w:b/>
                <w:color w:val="FFFFFF"/>
                <w:sz w:val="17"/>
              </w:rPr>
              <w:t>Likely Revenue Model</w:t>
            </w:r>
          </w:p>
        </w:tc>
      </w:tr>
      <w:tr>
        <w:tc>
          <w:tcPr>
            <w:tcW w:type="dxa" w:w="1440"/>
            <w:vAlign w:val="center"/>
          </w:tcPr>
          <w:p>
            <w:r/>
            <w:r>
              <w:rPr>
                <w:b w:val="0"/>
                <w:sz w:val="17"/>
              </w:rPr>
              <w:t>Stage 1</w:t>
            </w:r>
          </w:p>
        </w:tc>
        <w:tc>
          <w:tcPr>
            <w:tcW w:type="dxa" w:w="2448"/>
            <w:vAlign w:val="center"/>
          </w:tcPr>
          <w:p>
            <w:r/>
            <w:r>
              <w:rPr>
                <w:b w:val="0"/>
                <w:sz w:val="17"/>
              </w:rPr>
              <w:t>Internal Edition</w:t>
            </w:r>
          </w:p>
        </w:tc>
        <w:tc>
          <w:tcPr>
            <w:tcW w:type="dxa" w:w="3312"/>
            <w:vAlign w:val="center"/>
          </w:tcPr>
          <w:p>
            <w:r/>
            <w:r>
              <w:rPr>
                <w:b w:val="0"/>
                <w:sz w:val="17"/>
              </w:rPr>
              <w:t>House of Trae and owned businesses</w:t>
            </w:r>
          </w:p>
        </w:tc>
        <w:tc>
          <w:tcPr>
            <w:tcW w:type="dxa" w:w="3312"/>
            <w:vAlign w:val="center"/>
          </w:tcPr>
          <w:p>
            <w:r/>
            <w:r>
              <w:rPr>
                <w:b w:val="0"/>
                <w:sz w:val="17"/>
              </w:rPr>
              <w:t>No direct revenue; proves product value.</w:t>
            </w:r>
          </w:p>
        </w:tc>
      </w:tr>
      <w:tr>
        <w:tc>
          <w:tcPr>
            <w:tcW w:type="dxa" w:w="1440"/>
            <w:vAlign w:val="center"/>
          </w:tcPr>
          <w:p>
            <w:r/>
            <w:r>
              <w:rPr>
                <w:b w:val="0"/>
                <w:sz w:val="17"/>
              </w:rPr>
              <w:t>Stage 2</w:t>
            </w:r>
          </w:p>
        </w:tc>
        <w:tc>
          <w:tcPr>
            <w:tcW w:type="dxa" w:w="2448"/>
            <w:vAlign w:val="center"/>
          </w:tcPr>
          <w:p>
            <w:r/>
            <w:r>
              <w:rPr>
                <w:b w:val="0"/>
                <w:sz w:val="17"/>
              </w:rPr>
              <w:t>Community Edition</w:t>
            </w:r>
          </w:p>
        </w:tc>
        <w:tc>
          <w:tcPr>
            <w:tcW w:type="dxa" w:w="3312"/>
            <w:vAlign w:val="center"/>
          </w:tcPr>
          <w:p>
            <w:r/>
            <w:r>
              <w:rPr>
                <w:b w:val="0"/>
                <w:sz w:val="17"/>
              </w:rPr>
              <w:t>Self-hosters and homelab operators</w:t>
            </w:r>
          </w:p>
        </w:tc>
        <w:tc>
          <w:tcPr>
            <w:tcW w:type="dxa" w:w="3312"/>
            <w:vAlign w:val="center"/>
          </w:tcPr>
          <w:p>
            <w:r/>
            <w:r>
              <w:rPr>
                <w:b w:val="0"/>
                <w:sz w:val="17"/>
              </w:rPr>
              <w:t>Free/open-source or free core.</w:t>
            </w:r>
          </w:p>
        </w:tc>
      </w:tr>
      <w:tr>
        <w:tc>
          <w:tcPr>
            <w:tcW w:type="dxa" w:w="1440"/>
            <w:vAlign w:val="center"/>
          </w:tcPr>
          <w:p>
            <w:r/>
            <w:r>
              <w:rPr>
                <w:b w:val="0"/>
                <w:sz w:val="17"/>
              </w:rPr>
              <w:t>Stage 3</w:t>
            </w:r>
          </w:p>
        </w:tc>
        <w:tc>
          <w:tcPr>
            <w:tcW w:type="dxa" w:w="2448"/>
            <w:vAlign w:val="center"/>
          </w:tcPr>
          <w:p>
            <w:r/>
            <w:r>
              <w:rPr>
                <w:b w:val="0"/>
                <w:sz w:val="17"/>
              </w:rPr>
              <w:t>Professional Edition</w:t>
            </w:r>
          </w:p>
        </w:tc>
        <w:tc>
          <w:tcPr>
            <w:tcW w:type="dxa" w:w="3312"/>
            <w:vAlign w:val="center"/>
          </w:tcPr>
          <w:p>
            <w:r/>
            <w:r>
              <w:rPr>
                <w:b w:val="0"/>
                <w:sz w:val="17"/>
              </w:rPr>
              <w:t>Small businesses and MSPs</w:t>
            </w:r>
          </w:p>
        </w:tc>
        <w:tc>
          <w:tcPr>
            <w:tcW w:type="dxa" w:w="3312"/>
            <w:vAlign w:val="center"/>
          </w:tcPr>
          <w:p>
            <w:r/>
            <w:r>
              <w:rPr>
                <w:b w:val="0"/>
                <w:sz w:val="17"/>
              </w:rPr>
              <w:t>Paid licence or subscription.</w:t>
            </w:r>
          </w:p>
        </w:tc>
      </w:tr>
      <w:tr>
        <w:tc>
          <w:tcPr>
            <w:tcW w:type="dxa" w:w="1440"/>
            <w:vAlign w:val="center"/>
          </w:tcPr>
          <w:p>
            <w:r/>
            <w:r>
              <w:rPr>
                <w:b w:val="0"/>
                <w:sz w:val="17"/>
              </w:rPr>
              <w:t>Stage 4</w:t>
            </w:r>
          </w:p>
        </w:tc>
        <w:tc>
          <w:tcPr>
            <w:tcW w:type="dxa" w:w="2448"/>
            <w:vAlign w:val="center"/>
          </w:tcPr>
          <w:p>
            <w:r/>
            <w:r>
              <w:rPr>
                <w:b w:val="0"/>
                <w:sz w:val="17"/>
              </w:rPr>
              <w:t>Managed Edition</w:t>
            </w:r>
          </w:p>
        </w:tc>
        <w:tc>
          <w:tcPr>
            <w:tcW w:type="dxa" w:w="3312"/>
            <w:vAlign w:val="center"/>
          </w:tcPr>
          <w:p>
            <w:r/>
            <w:r>
              <w:rPr>
                <w:b w:val="0"/>
                <w:sz w:val="17"/>
              </w:rPr>
              <w:t>Customers wanting less maintenance</w:t>
            </w:r>
          </w:p>
        </w:tc>
        <w:tc>
          <w:tcPr>
            <w:tcW w:type="dxa" w:w="3312"/>
            <w:vAlign w:val="center"/>
          </w:tcPr>
          <w:p>
            <w:r/>
            <w:r>
              <w:rPr>
                <w:b w:val="0"/>
                <w:sz w:val="17"/>
              </w:rPr>
              <w:t>Recurring SaaS/managed service fee.</w:t>
            </w:r>
          </w:p>
        </w:tc>
      </w:tr>
      <w:tr>
        <w:tc>
          <w:tcPr>
            <w:tcW w:type="dxa" w:w="1440"/>
            <w:vAlign w:val="center"/>
          </w:tcPr>
          <w:p>
            <w:r/>
            <w:r>
              <w:rPr>
                <w:b w:val="0"/>
                <w:sz w:val="17"/>
              </w:rPr>
              <w:t>Stage 5</w:t>
            </w:r>
          </w:p>
        </w:tc>
        <w:tc>
          <w:tcPr>
            <w:tcW w:type="dxa" w:w="2448"/>
            <w:vAlign w:val="center"/>
          </w:tcPr>
          <w:p>
            <w:r/>
            <w:r>
              <w:rPr>
                <w:b w:val="0"/>
                <w:sz w:val="17"/>
              </w:rPr>
              <w:t>Enterprise / Partner</w:t>
            </w:r>
          </w:p>
        </w:tc>
        <w:tc>
          <w:tcPr>
            <w:tcW w:type="dxa" w:w="3312"/>
            <w:vAlign w:val="center"/>
          </w:tcPr>
          <w:p>
            <w:r/>
            <w:r>
              <w:rPr>
                <w:b w:val="0"/>
                <w:sz w:val="17"/>
              </w:rPr>
              <w:t>MSPs and multi-site operators</w:t>
            </w:r>
          </w:p>
        </w:tc>
        <w:tc>
          <w:tcPr>
            <w:tcW w:type="dxa" w:w="3312"/>
            <w:vAlign w:val="center"/>
          </w:tcPr>
          <w:p>
            <w:r/>
            <w:r>
              <w:rPr>
                <w:b w:val="0"/>
                <w:sz w:val="17"/>
              </w:rPr>
              <w:t>Per-tenant, per-node, or support contract.</w:t>
            </w:r>
          </w:p>
        </w:tc>
      </w:tr>
    </w:tbl>
    <w:p/>
    <w:p>
      <w:pPr>
        <w:pStyle w:val="Heading1"/>
      </w:pPr>
      <w:r>
        <w:t>8. Possible Packaging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vAlign w:val="center"/>
            <w:shd w:fill="1F2937"/>
          </w:tcPr>
          <w:p>
            <w:r>
              <w:rPr>
                <w:color w:val="FFFFFF"/>
              </w:rPr>
            </w:r>
            <w:r>
              <w:rPr>
                <w:b/>
                <w:color w:val="FFFFFF"/>
                <w:sz w:val="17"/>
              </w:rPr>
              <w:t>Capability</w:t>
            </w:r>
          </w:p>
        </w:tc>
        <w:tc>
          <w:tcPr>
            <w:tcW w:type="dxa" w:w="2016"/>
            <w:vAlign w:val="center"/>
            <w:shd w:fill="1F2937"/>
          </w:tcPr>
          <w:p>
            <w:r>
              <w:rPr>
                <w:color w:val="FFFFFF"/>
              </w:rPr>
            </w:r>
            <w:r>
              <w:rPr>
                <w:b/>
                <w:color w:val="FFFFFF"/>
                <w:sz w:val="17"/>
              </w:rPr>
              <w:t>Community</w:t>
            </w:r>
          </w:p>
        </w:tc>
        <w:tc>
          <w:tcPr>
            <w:tcW w:type="dxa" w:w="2448"/>
            <w:vAlign w:val="center"/>
            <w:shd w:fill="1F2937"/>
          </w:tcPr>
          <w:p>
            <w:r>
              <w:rPr>
                <w:color w:val="FFFFFF"/>
              </w:rPr>
            </w:r>
            <w:r>
              <w:rPr>
                <w:b/>
                <w:color w:val="FFFFFF"/>
                <w:sz w:val="17"/>
              </w:rPr>
              <w:t>Professional</w:t>
            </w:r>
          </w:p>
        </w:tc>
        <w:tc>
          <w:tcPr>
            <w:tcW w:type="dxa" w:w="2448"/>
            <w:vAlign w:val="center"/>
            <w:shd w:fill="1F2937"/>
          </w:tcPr>
          <w:p>
            <w:r>
              <w:rPr>
                <w:color w:val="FFFFFF"/>
              </w:rPr>
            </w:r>
            <w:r>
              <w:rPr>
                <w:b/>
                <w:color w:val="FFFFFF"/>
                <w:sz w:val="17"/>
              </w:rPr>
              <w:t>Managed</w:t>
            </w:r>
          </w:p>
        </w:tc>
      </w:tr>
      <w:tr>
        <w:tc>
          <w:tcPr>
            <w:tcW w:type="dxa" w:w="3024"/>
            <w:vAlign w:val="center"/>
          </w:tcPr>
          <w:p>
            <w:r/>
            <w:r>
              <w:rPr>
                <w:b w:val="0"/>
                <w:sz w:val="17"/>
              </w:rPr>
              <w:t>Service inventory</w:t>
            </w:r>
          </w:p>
        </w:tc>
        <w:tc>
          <w:tcPr>
            <w:tcW w:type="dxa" w:w="2016"/>
            <w:vAlign w:val="center"/>
          </w:tcPr>
          <w:p>
            <w:r/>
            <w:r>
              <w:rPr>
                <w:b w:val="0"/>
                <w:sz w:val="17"/>
              </w:rPr>
              <w:t>Included</w:t>
            </w:r>
          </w:p>
        </w:tc>
        <w:tc>
          <w:tcPr>
            <w:tcW w:type="dxa" w:w="2448"/>
            <w:vAlign w:val="center"/>
          </w:tcPr>
          <w:p>
            <w:r/>
            <w:r>
              <w:rPr>
                <w:b w:val="0"/>
                <w:sz w:val="17"/>
              </w:rPr>
              <w:t>Included</w:t>
            </w:r>
          </w:p>
        </w:tc>
        <w:tc>
          <w:tcPr>
            <w:tcW w:type="dxa" w:w="2448"/>
            <w:vAlign w:val="center"/>
          </w:tcPr>
          <w:p>
            <w:r/>
            <w:r>
              <w:rPr>
                <w:b w:val="0"/>
                <w:sz w:val="17"/>
              </w:rPr>
              <w:t>Included</w:t>
            </w:r>
          </w:p>
        </w:tc>
      </w:tr>
      <w:tr>
        <w:tc>
          <w:tcPr>
            <w:tcW w:type="dxa" w:w="3024"/>
            <w:vAlign w:val="center"/>
          </w:tcPr>
          <w:p>
            <w:r/>
            <w:r>
              <w:rPr>
                <w:b w:val="0"/>
                <w:sz w:val="17"/>
              </w:rPr>
              <w:t>Health checks</w:t>
            </w:r>
          </w:p>
        </w:tc>
        <w:tc>
          <w:tcPr>
            <w:tcW w:type="dxa" w:w="2016"/>
            <w:vAlign w:val="center"/>
          </w:tcPr>
          <w:p>
            <w:r/>
            <w:r>
              <w:rPr>
                <w:b w:val="0"/>
                <w:sz w:val="17"/>
              </w:rPr>
              <w:t>Included</w:t>
            </w:r>
          </w:p>
        </w:tc>
        <w:tc>
          <w:tcPr>
            <w:tcW w:type="dxa" w:w="2448"/>
            <w:vAlign w:val="center"/>
          </w:tcPr>
          <w:p>
            <w:r/>
            <w:r>
              <w:rPr>
                <w:b w:val="0"/>
                <w:sz w:val="17"/>
              </w:rPr>
              <w:t>Included</w:t>
            </w:r>
          </w:p>
        </w:tc>
        <w:tc>
          <w:tcPr>
            <w:tcW w:type="dxa" w:w="2448"/>
            <w:vAlign w:val="center"/>
          </w:tcPr>
          <w:p>
            <w:r/>
            <w:r>
              <w:rPr>
                <w:b w:val="0"/>
                <w:sz w:val="17"/>
              </w:rPr>
              <w:t>Included</w:t>
            </w:r>
          </w:p>
        </w:tc>
      </w:tr>
      <w:tr>
        <w:tc>
          <w:tcPr>
            <w:tcW w:type="dxa" w:w="3024"/>
            <w:vAlign w:val="center"/>
          </w:tcPr>
          <w:p>
            <w:r/>
            <w:r>
              <w:rPr>
                <w:b w:val="0"/>
                <w:sz w:val="17"/>
              </w:rPr>
              <w:t>Backup visibility</w:t>
            </w:r>
          </w:p>
        </w:tc>
        <w:tc>
          <w:tcPr>
            <w:tcW w:type="dxa" w:w="2016"/>
            <w:vAlign w:val="center"/>
          </w:tcPr>
          <w:p>
            <w:r/>
            <w:r>
              <w:rPr>
                <w:b w:val="0"/>
                <w:sz w:val="17"/>
              </w:rPr>
              <w:t>Included</w:t>
            </w:r>
          </w:p>
        </w:tc>
        <w:tc>
          <w:tcPr>
            <w:tcW w:type="dxa" w:w="2448"/>
            <w:vAlign w:val="center"/>
          </w:tcPr>
          <w:p>
            <w:r/>
            <w:r>
              <w:rPr>
                <w:b w:val="0"/>
                <w:sz w:val="17"/>
              </w:rPr>
              <w:t>Included</w:t>
            </w:r>
          </w:p>
        </w:tc>
        <w:tc>
          <w:tcPr>
            <w:tcW w:type="dxa" w:w="2448"/>
            <w:vAlign w:val="center"/>
          </w:tcPr>
          <w:p>
            <w:r/>
            <w:r>
              <w:rPr>
                <w:b w:val="0"/>
                <w:sz w:val="17"/>
              </w:rPr>
              <w:t>Included</w:t>
            </w:r>
          </w:p>
        </w:tc>
      </w:tr>
      <w:tr>
        <w:tc>
          <w:tcPr>
            <w:tcW w:type="dxa" w:w="3024"/>
            <w:vAlign w:val="center"/>
          </w:tcPr>
          <w:p>
            <w:r/>
            <w:r>
              <w:rPr>
                <w:b w:val="0"/>
                <w:sz w:val="17"/>
              </w:rPr>
              <w:t>Recovery planning</w:t>
            </w:r>
          </w:p>
        </w:tc>
        <w:tc>
          <w:tcPr>
            <w:tcW w:type="dxa" w:w="2016"/>
            <w:vAlign w:val="center"/>
          </w:tcPr>
          <w:p>
            <w:r/>
            <w:r>
              <w:rPr>
                <w:b w:val="0"/>
                <w:sz w:val="17"/>
              </w:rPr>
              <w:t>Basic</w:t>
            </w:r>
          </w:p>
        </w:tc>
        <w:tc>
          <w:tcPr>
            <w:tcW w:type="dxa" w:w="2448"/>
            <w:vAlign w:val="center"/>
          </w:tcPr>
          <w:p>
            <w:r/>
            <w:r>
              <w:rPr>
                <w:b w:val="0"/>
                <w:sz w:val="17"/>
              </w:rPr>
              <w:t>Advanced</w:t>
            </w:r>
          </w:p>
        </w:tc>
        <w:tc>
          <w:tcPr>
            <w:tcW w:type="dxa" w:w="2448"/>
            <w:vAlign w:val="center"/>
          </w:tcPr>
          <w:p>
            <w:r/>
            <w:r>
              <w:rPr>
                <w:b w:val="0"/>
                <w:sz w:val="17"/>
              </w:rPr>
              <w:t>Advanced + assisted</w:t>
            </w:r>
          </w:p>
        </w:tc>
      </w:tr>
      <w:tr>
        <w:tc>
          <w:tcPr>
            <w:tcW w:type="dxa" w:w="3024"/>
            <w:vAlign w:val="center"/>
          </w:tcPr>
          <w:p>
            <w:r/>
            <w:r>
              <w:rPr>
                <w:b w:val="0"/>
                <w:sz w:val="17"/>
              </w:rPr>
              <w:t>Multi-tenancy</w:t>
            </w:r>
          </w:p>
        </w:tc>
        <w:tc>
          <w:tcPr>
            <w:tcW w:type="dxa" w:w="2016"/>
            <w:vAlign w:val="center"/>
          </w:tcPr>
          <w:p>
            <w:r/>
            <w:r>
              <w:rPr>
                <w:b w:val="0"/>
                <w:sz w:val="17"/>
              </w:rPr>
              <w:t>Single tenant or limited</w:t>
            </w:r>
          </w:p>
        </w:tc>
        <w:tc>
          <w:tcPr>
            <w:tcW w:type="dxa" w:w="2448"/>
            <w:vAlign w:val="center"/>
          </w:tcPr>
          <w:p>
            <w:r/>
            <w:r>
              <w:rPr>
                <w:b w:val="0"/>
                <w:sz w:val="17"/>
              </w:rPr>
              <w:t>Included</w:t>
            </w:r>
          </w:p>
        </w:tc>
        <w:tc>
          <w:tcPr>
            <w:tcW w:type="dxa" w:w="2448"/>
            <w:vAlign w:val="center"/>
          </w:tcPr>
          <w:p>
            <w:r/>
            <w:r>
              <w:rPr>
                <w:b w:val="0"/>
                <w:sz w:val="17"/>
              </w:rPr>
              <w:t>Included</w:t>
            </w:r>
          </w:p>
        </w:tc>
      </w:tr>
      <w:tr>
        <w:tc>
          <w:tcPr>
            <w:tcW w:type="dxa" w:w="3024"/>
            <w:vAlign w:val="center"/>
          </w:tcPr>
          <w:p>
            <w:r/>
            <w:r>
              <w:rPr>
                <w:b w:val="0"/>
                <w:sz w:val="17"/>
              </w:rPr>
              <w:t>Audit logs</w:t>
            </w:r>
          </w:p>
        </w:tc>
        <w:tc>
          <w:tcPr>
            <w:tcW w:type="dxa" w:w="2016"/>
            <w:vAlign w:val="center"/>
          </w:tcPr>
          <w:p>
            <w:r/>
            <w:r>
              <w:rPr>
                <w:b w:val="0"/>
                <w:sz w:val="17"/>
              </w:rPr>
              <w:t>Basic</w:t>
            </w:r>
          </w:p>
        </w:tc>
        <w:tc>
          <w:tcPr>
            <w:tcW w:type="dxa" w:w="2448"/>
            <w:vAlign w:val="center"/>
          </w:tcPr>
          <w:p>
            <w:r/>
            <w:r>
              <w:rPr>
                <w:b w:val="0"/>
                <w:sz w:val="17"/>
              </w:rPr>
              <w:t>Advanced retention/export</w:t>
            </w:r>
          </w:p>
        </w:tc>
        <w:tc>
          <w:tcPr>
            <w:tcW w:type="dxa" w:w="2448"/>
            <w:vAlign w:val="center"/>
          </w:tcPr>
          <w:p>
            <w:r/>
            <w:r>
              <w:rPr>
                <w:b w:val="0"/>
                <w:sz w:val="17"/>
              </w:rPr>
              <w:t>Advanced retention/export</w:t>
            </w:r>
          </w:p>
        </w:tc>
      </w:tr>
      <w:tr>
        <w:tc>
          <w:tcPr>
            <w:tcW w:type="dxa" w:w="3024"/>
            <w:vAlign w:val="center"/>
          </w:tcPr>
          <w:p>
            <w:r/>
            <w:r>
              <w:rPr>
                <w:b w:val="0"/>
                <w:sz w:val="17"/>
              </w:rPr>
              <w:t>Policy engine</w:t>
            </w:r>
          </w:p>
        </w:tc>
        <w:tc>
          <w:tcPr>
            <w:tcW w:type="dxa" w:w="2016"/>
            <w:vAlign w:val="center"/>
          </w:tcPr>
          <w:p>
            <w:r/>
            <w:r>
              <w:rPr>
                <w:b w:val="0"/>
                <w:sz w:val="17"/>
              </w:rPr>
              <w:t>Limited</w:t>
            </w:r>
          </w:p>
        </w:tc>
        <w:tc>
          <w:tcPr>
            <w:tcW w:type="dxa" w:w="2448"/>
            <w:vAlign w:val="center"/>
          </w:tcPr>
          <w:p>
            <w:r/>
            <w:r>
              <w:rPr>
                <w:b w:val="0"/>
                <w:sz w:val="17"/>
              </w:rPr>
              <w:t>Included</w:t>
            </w:r>
          </w:p>
        </w:tc>
        <w:tc>
          <w:tcPr>
            <w:tcW w:type="dxa" w:w="2448"/>
            <w:vAlign w:val="center"/>
          </w:tcPr>
          <w:p>
            <w:r/>
            <w:r>
              <w:rPr>
                <w:b w:val="0"/>
                <w:sz w:val="17"/>
              </w:rPr>
              <w:t>Included</w:t>
            </w:r>
          </w:p>
        </w:tc>
      </w:tr>
      <w:tr>
        <w:tc>
          <w:tcPr>
            <w:tcW w:type="dxa" w:w="3024"/>
            <w:vAlign w:val="center"/>
          </w:tcPr>
          <w:p>
            <w:r/>
            <w:r>
              <w:rPr>
                <w:b w:val="0"/>
                <w:sz w:val="17"/>
              </w:rPr>
              <w:t>Reports</w:t>
            </w:r>
          </w:p>
        </w:tc>
        <w:tc>
          <w:tcPr>
            <w:tcW w:type="dxa" w:w="2016"/>
            <w:vAlign w:val="center"/>
          </w:tcPr>
          <w:p>
            <w:r/>
            <w:r>
              <w:rPr>
                <w:b w:val="0"/>
                <w:sz w:val="17"/>
              </w:rPr>
              <w:t>Limited</w:t>
            </w:r>
          </w:p>
        </w:tc>
        <w:tc>
          <w:tcPr>
            <w:tcW w:type="dxa" w:w="2448"/>
            <w:vAlign w:val="center"/>
          </w:tcPr>
          <w:p>
            <w:r/>
            <w:r>
              <w:rPr>
                <w:b w:val="0"/>
                <w:sz w:val="17"/>
              </w:rPr>
              <w:t>Client-ready reports</w:t>
            </w:r>
          </w:p>
        </w:tc>
        <w:tc>
          <w:tcPr>
            <w:tcW w:type="dxa" w:w="2448"/>
            <w:vAlign w:val="center"/>
          </w:tcPr>
          <w:p>
            <w:r/>
            <w:r>
              <w:rPr>
                <w:b w:val="0"/>
                <w:sz w:val="17"/>
              </w:rPr>
              <w:t>Client-ready reports</w:t>
            </w:r>
          </w:p>
        </w:tc>
      </w:tr>
      <w:tr>
        <w:tc>
          <w:tcPr>
            <w:tcW w:type="dxa" w:w="3024"/>
            <w:vAlign w:val="center"/>
          </w:tcPr>
          <w:p>
            <w:r/>
            <w:r>
              <w:rPr>
                <w:b w:val="0"/>
                <w:sz w:val="17"/>
              </w:rPr>
              <w:t>Support</w:t>
            </w:r>
          </w:p>
        </w:tc>
        <w:tc>
          <w:tcPr>
            <w:tcW w:type="dxa" w:w="2016"/>
            <w:vAlign w:val="center"/>
          </w:tcPr>
          <w:p>
            <w:r/>
            <w:r>
              <w:rPr>
                <w:b w:val="0"/>
                <w:sz w:val="17"/>
              </w:rPr>
              <w:t>Community</w:t>
            </w:r>
          </w:p>
        </w:tc>
        <w:tc>
          <w:tcPr>
            <w:tcW w:type="dxa" w:w="2448"/>
            <w:vAlign w:val="center"/>
          </w:tcPr>
          <w:p>
            <w:r/>
            <w:r>
              <w:rPr>
                <w:b w:val="0"/>
                <w:sz w:val="17"/>
              </w:rPr>
              <w:t>Priority support</w:t>
            </w:r>
          </w:p>
        </w:tc>
        <w:tc>
          <w:tcPr>
            <w:tcW w:type="dxa" w:w="2448"/>
            <w:vAlign w:val="center"/>
          </w:tcPr>
          <w:p>
            <w:r/>
            <w:r>
              <w:rPr>
                <w:b w:val="0"/>
                <w:sz w:val="17"/>
              </w:rPr>
              <w:t>Managed support</w:t>
            </w:r>
          </w:p>
        </w:tc>
      </w:tr>
    </w:tbl>
    <w:p/>
    <w:tbl>
      <w:tblPr>
        <w:tblStyle w:val="TableGrid"/>
        <w:tblW w:type="auto" w:w="0"/>
        <w:jc w:val="center"/>
        <w:tblLook w:firstColumn="1" w:firstRow="1" w:lastColumn="0" w:lastRow="0" w:noHBand="0" w:noVBand="1" w:val="04A0"/>
      </w:tblPr>
      <w:tblGrid>
        <w:gridCol w:w="10368"/>
      </w:tblGrid>
      <w:tr>
        <w:tc>
          <w:tcPr>
            <w:tcW w:type="dxa" w:w="10368"/>
            <w:shd w:fill="FEE2E2"/>
          </w:tcPr>
          <w:p>
            <w:r/>
            <w:r>
              <w:rPr>
                <w:b/>
                <w:sz w:val="20"/>
              </w:rPr>
              <w:t>Caution</w:t>
            </w:r>
          </w:p>
          <w:p>
            <w:pPr>
              <w:spacing w:after="0"/>
            </w:pPr>
            <w:r>
              <w:t>Do not over-monetise too early. The product needs trust before pricing. The first job is to make PrivateNexus valuable enough that you rely on it daily.</w:t>
            </w:r>
          </w:p>
        </w:tc>
      </w:tr>
    </w:tbl>
    <w:p/>
    <w:p>
      <w:pPr>
        <w:pStyle w:val="Heading1"/>
      </w:pPr>
      <w:r>
        <w:t>9. Multi-Tenancy Strategy</w:t>
      </w:r>
    </w:p>
    <w:p>
      <w:r>
        <w:t>Because the desired path is House of Trae first, then future clients, and possibly a commercial product, the architecture should be tenant-aware from the beginning. This does not mean every feature needs full MSP-grade tenancy immediately, but the database and API should not assume a single owner forever.</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r>
              <w:rPr>
                <w:color w:val="FFFFFF"/>
              </w:rPr>
            </w:r>
            <w:r>
              <w:rPr>
                <w:b/>
                <w:color w:val="FFFFFF"/>
                <w:sz w:val="17"/>
              </w:rPr>
              <w:t>Design Area</w:t>
            </w:r>
          </w:p>
        </w:tc>
        <w:tc>
          <w:tcPr>
            <w:tcW w:type="dxa" w:w="6912"/>
            <w:vAlign w:val="center"/>
            <w:shd w:fill="1F2937"/>
          </w:tcPr>
          <w:p>
            <w:r>
              <w:rPr>
                <w:color w:val="FFFFFF"/>
              </w:rPr>
            </w:r>
            <w:r>
              <w:rPr>
                <w:b/>
                <w:color w:val="FFFFFF"/>
                <w:sz w:val="17"/>
              </w:rPr>
              <w:t>Recommendation</w:t>
            </w:r>
          </w:p>
        </w:tc>
      </w:tr>
      <w:tr>
        <w:tc>
          <w:tcPr>
            <w:tcW w:type="dxa" w:w="2880"/>
            <w:vAlign w:val="center"/>
          </w:tcPr>
          <w:p>
            <w:r/>
            <w:r>
              <w:rPr>
                <w:b w:val="0"/>
                <w:sz w:val="17"/>
              </w:rPr>
              <w:t>Tenants</w:t>
            </w:r>
          </w:p>
        </w:tc>
        <w:tc>
          <w:tcPr>
            <w:tcW w:type="dxa" w:w="6912"/>
            <w:vAlign w:val="center"/>
          </w:tcPr>
          <w:p>
            <w:r/>
            <w:r>
              <w:rPr>
                <w:b w:val="0"/>
                <w:sz w:val="17"/>
              </w:rPr>
              <w:t>Create a tenant model from v1.0, with House of Trae as Tenant 1.</w:t>
            </w:r>
          </w:p>
        </w:tc>
      </w:tr>
      <w:tr>
        <w:tc>
          <w:tcPr>
            <w:tcW w:type="dxa" w:w="2880"/>
            <w:vAlign w:val="center"/>
          </w:tcPr>
          <w:p>
            <w:r/>
            <w:r>
              <w:rPr>
                <w:b w:val="0"/>
                <w:sz w:val="17"/>
              </w:rPr>
              <w:t>Users</w:t>
            </w:r>
          </w:p>
        </w:tc>
        <w:tc>
          <w:tcPr>
            <w:tcW w:type="dxa" w:w="6912"/>
            <w:vAlign w:val="center"/>
          </w:tcPr>
          <w:p>
            <w:r/>
            <w:r>
              <w:rPr>
                <w:b w:val="0"/>
                <w:sz w:val="17"/>
              </w:rPr>
              <w:t>Users can belong to one or more tenants with scoped roles.</w:t>
            </w:r>
          </w:p>
        </w:tc>
      </w:tr>
      <w:tr>
        <w:tc>
          <w:tcPr>
            <w:tcW w:type="dxa" w:w="2880"/>
            <w:vAlign w:val="center"/>
          </w:tcPr>
          <w:p>
            <w:r/>
            <w:r>
              <w:rPr>
                <w:b w:val="0"/>
                <w:sz w:val="17"/>
              </w:rPr>
              <w:t>Services</w:t>
            </w:r>
          </w:p>
        </w:tc>
        <w:tc>
          <w:tcPr>
            <w:tcW w:type="dxa" w:w="6912"/>
            <w:vAlign w:val="center"/>
          </w:tcPr>
          <w:p>
            <w:r/>
            <w:r>
              <w:rPr>
                <w:b w:val="0"/>
                <w:sz w:val="17"/>
              </w:rPr>
              <w:t>Every service belongs to a tenant, environment, and service group.</w:t>
            </w:r>
          </w:p>
        </w:tc>
      </w:tr>
      <w:tr>
        <w:tc>
          <w:tcPr>
            <w:tcW w:type="dxa" w:w="2880"/>
            <w:vAlign w:val="center"/>
          </w:tcPr>
          <w:p>
            <w:r/>
            <w:r>
              <w:rPr>
                <w:b w:val="0"/>
                <w:sz w:val="17"/>
              </w:rPr>
              <w:t>Actions</w:t>
            </w:r>
          </w:p>
        </w:tc>
        <w:tc>
          <w:tcPr>
            <w:tcW w:type="dxa" w:w="6912"/>
            <w:vAlign w:val="center"/>
          </w:tcPr>
          <w:p>
            <w:r/>
            <w:r>
              <w:rPr>
                <w:b w:val="0"/>
                <w:sz w:val="17"/>
              </w:rPr>
              <w:t>Actions are authorised by tenant, role, policy, and service risk level.</w:t>
            </w:r>
          </w:p>
        </w:tc>
      </w:tr>
      <w:tr>
        <w:tc>
          <w:tcPr>
            <w:tcW w:type="dxa" w:w="2880"/>
            <w:vAlign w:val="center"/>
          </w:tcPr>
          <w:p>
            <w:r/>
            <w:r>
              <w:rPr>
                <w:b w:val="0"/>
                <w:sz w:val="17"/>
              </w:rPr>
              <w:t>Audit Events</w:t>
            </w:r>
          </w:p>
        </w:tc>
        <w:tc>
          <w:tcPr>
            <w:tcW w:type="dxa" w:w="6912"/>
            <w:vAlign w:val="center"/>
          </w:tcPr>
          <w:p>
            <w:r/>
            <w:r>
              <w:rPr>
                <w:b w:val="0"/>
                <w:sz w:val="17"/>
              </w:rPr>
              <w:t>Every event includes tenant, actor, target, action, timestamp, and outcome.</w:t>
            </w:r>
          </w:p>
        </w:tc>
      </w:tr>
      <w:tr>
        <w:tc>
          <w:tcPr>
            <w:tcW w:type="dxa" w:w="2880"/>
            <w:vAlign w:val="center"/>
          </w:tcPr>
          <w:p>
            <w:r/>
            <w:r>
              <w:rPr>
                <w:b w:val="0"/>
                <w:sz w:val="17"/>
              </w:rPr>
              <w:t>Integrations</w:t>
            </w:r>
          </w:p>
        </w:tc>
        <w:tc>
          <w:tcPr>
            <w:tcW w:type="dxa" w:w="6912"/>
            <w:vAlign w:val="center"/>
          </w:tcPr>
          <w:p>
            <w:r/>
            <w:r>
              <w:rPr>
                <w:b w:val="0"/>
                <w:sz w:val="17"/>
              </w:rPr>
              <w:t>Integrations should be tenant-scoped where possible.</w:t>
            </w:r>
          </w:p>
        </w:tc>
      </w:tr>
    </w:tbl>
    <w:p/>
    <w:p>
      <w:pPr>
        <w:pStyle w:val="Heading1"/>
      </w:pPr>
      <w:r>
        <w:t>10. Feature Boundaries: What PrivateNexus Should Not Be</w:t>
      </w:r>
    </w:p>
    <w:p>
      <w:pPr>
        <w:pStyle w:val="ListBullet"/>
      </w:pPr>
      <w:r>
        <w:t>Not a full Proxmox replacement.</w:t>
      </w:r>
    </w:p>
    <w:p>
      <w:pPr>
        <w:pStyle w:val="ListBullet"/>
      </w:pPr>
      <w:r>
        <w:t>Not a raw Docker socket dashboard with unlimited destructive power.</w:t>
      </w:r>
    </w:p>
    <w:p>
      <w:pPr>
        <w:pStyle w:val="ListBullet"/>
      </w:pPr>
      <w:r>
        <w:t>Not an identity provider replacement.</w:t>
      </w:r>
    </w:p>
    <w:p>
      <w:pPr>
        <w:pStyle w:val="ListBullet"/>
      </w:pPr>
      <w:r>
        <w:t>Not a DNS authority replacement.</w:t>
      </w:r>
    </w:p>
    <w:p>
      <w:pPr>
        <w:pStyle w:val="ListBullet"/>
      </w:pPr>
      <w:r>
        <w:t>Not a monitoring database replacement.</w:t>
      </w:r>
    </w:p>
    <w:p>
      <w:pPr>
        <w:pStyle w:val="ListBullet"/>
      </w:pPr>
      <w:r>
        <w:t>Not a configuration free-for-all where any user can edit infrastructure.</w:t>
      </w:r>
    </w:p>
    <w:p>
      <w:pPr>
        <w:pStyle w:val="ListBullet"/>
      </w:pPr>
      <w:r>
        <w:t>Not a shell-in-browser product in early versions.</w:t>
      </w:r>
    </w:p>
    <w:p>
      <w:r>
        <w:t>These boundaries make the product safer and easier to explain commercially. The phrase to keep in mind is: controlled operations, not unrestricted infrastructure access.</w:t>
      </w:r>
    </w:p>
    <w:p>
      <w:pPr>
        <w:pStyle w:val="Heading1"/>
      </w:pPr>
      <w:r>
        <w:t>11. Commercial Roadmap Alignment</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2937"/>
          </w:tcPr>
          <w:p>
            <w:r>
              <w:rPr>
                <w:color w:val="FFFFFF"/>
              </w:rPr>
            </w:r>
            <w:r>
              <w:rPr>
                <w:b/>
                <w:color w:val="FFFFFF"/>
                <w:sz w:val="17"/>
              </w:rPr>
              <w:t>Release</w:t>
            </w:r>
          </w:p>
        </w:tc>
        <w:tc>
          <w:tcPr>
            <w:tcW w:type="dxa" w:w="3168"/>
            <w:vAlign w:val="center"/>
            <w:shd w:fill="1F2937"/>
          </w:tcPr>
          <w:p>
            <w:r>
              <w:rPr>
                <w:color w:val="FFFFFF"/>
              </w:rPr>
            </w:r>
            <w:r>
              <w:rPr>
                <w:b/>
                <w:color w:val="FFFFFF"/>
                <w:sz w:val="17"/>
              </w:rPr>
              <w:t>Product Theme</w:t>
            </w:r>
          </w:p>
        </w:tc>
        <w:tc>
          <w:tcPr>
            <w:tcW w:type="dxa" w:w="5328"/>
            <w:vAlign w:val="center"/>
            <w:shd w:fill="1F2937"/>
          </w:tcPr>
          <w:p>
            <w:r>
              <w:rPr>
                <w:color w:val="FFFFFF"/>
              </w:rPr>
            </w:r>
            <w:r>
              <w:rPr>
                <w:b/>
                <w:color w:val="FFFFFF"/>
                <w:sz w:val="17"/>
              </w:rPr>
              <w:t>Commercial Relevance</w:t>
            </w:r>
          </w:p>
        </w:tc>
      </w:tr>
      <w:tr>
        <w:tc>
          <w:tcPr>
            <w:tcW w:type="dxa" w:w="1440"/>
            <w:vAlign w:val="center"/>
          </w:tcPr>
          <w:p>
            <w:r/>
            <w:r>
              <w:rPr>
                <w:b w:val="0"/>
                <w:sz w:val="17"/>
              </w:rPr>
              <w:t>v0.8.x</w:t>
            </w:r>
          </w:p>
        </w:tc>
        <w:tc>
          <w:tcPr>
            <w:tcW w:type="dxa" w:w="3168"/>
            <w:vAlign w:val="center"/>
          </w:tcPr>
          <w:p>
            <w:r/>
            <w:r>
              <w:rPr>
                <w:b w:val="0"/>
                <w:sz w:val="17"/>
              </w:rPr>
              <w:t>Recovery foundations</w:t>
            </w:r>
          </w:p>
        </w:tc>
        <w:tc>
          <w:tcPr>
            <w:tcW w:type="dxa" w:w="5328"/>
            <w:vAlign w:val="center"/>
          </w:tcPr>
          <w:p>
            <w:r/>
            <w:r>
              <w:rPr>
                <w:b w:val="0"/>
                <w:sz w:val="17"/>
              </w:rPr>
              <w:t>Proves differentiated recovery logic.</w:t>
            </w:r>
          </w:p>
        </w:tc>
      </w:tr>
      <w:tr>
        <w:tc>
          <w:tcPr>
            <w:tcW w:type="dxa" w:w="1440"/>
            <w:vAlign w:val="center"/>
          </w:tcPr>
          <w:p>
            <w:r/>
            <w:r>
              <w:rPr>
                <w:b w:val="0"/>
                <w:sz w:val="17"/>
              </w:rPr>
              <w:t>v0.9.0</w:t>
            </w:r>
          </w:p>
        </w:tc>
        <w:tc>
          <w:tcPr>
            <w:tcW w:type="dxa" w:w="3168"/>
            <w:vAlign w:val="center"/>
          </w:tcPr>
          <w:p>
            <w:r/>
            <w:r>
              <w:rPr>
                <w:b w:val="0"/>
                <w:sz w:val="17"/>
              </w:rPr>
              <w:t>Identity and governance</w:t>
            </w:r>
          </w:p>
        </w:tc>
        <w:tc>
          <w:tcPr>
            <w:tcW w:type="dxa" w:w="5328"/>
            <w:vAlign w:val="center"/>
          </w:tcPr>
          <w:p>
            <w:r/>
            <w:r>
              <w:rPr>
                <w:b w:val="0"/>
                <w:sz w:val="17"/>
              </w:rPr>
              <w:t>Required for business use and professional credibility.</w:t>
            </w:r>
          </w:p>
        </w:tc>
      </w:tr>
      <w:tr>
        <w:tc>
          <w:tcPr>
            <w:tcW w:type="dxa" w:w="1440"/>
            <w:vAlign w:val="center"/>
          </w:tcPr>
          <w:p>
            <w:r/>
            <w:r>
              <w:rPr>
                <w:b w:val="0"/>
                <w:sz w:val="17"/>
              </w:rPr>
              <w:t>v1.0.0</w:t>
            </w:r>
          </w:p>
        </w:tc>
        <w:tc>
          <w:tcPr>
            <w:tcW w:type="dxa" w:w="3168"/>
            <w:vAlign w:val="center"/>
          </w:tcPr>
          <w:p>
            <w:r/>
            <w:r>
              <w:rPr>
                <w:b w:val="0"/>
                <w:sz w:val="17"/>
              </w:rPr>
              <w:t>Operations console</w:t>
            </w:r>
          </w:p>
        </w:tc>
        <w:tc>
          <w:tcPr>
            <w:tcW w:type="dxa" w:w="5328"/>
            <w:vAlign w:val="center"/>
          </w:tcPr>
          <w:p>
            <w:r/>
            <w:r>
              <w:rPr>
                <w:b w:val="0"/>
                <w:sz w:val="17"/>
              </w:rPr>
              <w:t>Minimum serious internal product.</w:t>
            </w:r>
          </w:p>
        </w:tc>
      </w:tr>
      <w:tr>
        <w:tc>
          <w:tcPr>
            <w:tcW w:type="dxa" w:w="1440"/>
            <w:vAlign w:val="center"/>
          </w:tcPr>
          <w:p>
            <w:r/>
            <w:r>
              <w:rPr>
                <w:b w:val="0"/>
                <w:sz w:val="17"/>
              </w:rPr>
              <w:t>v1.5.0</w:t>
            </w:r>
          </w:p>
        </w:tc>
        <w:tc>
          <w:tcPr>
            <w:tcW w:type="dxa" w:w="3168"/>
            <w:vAlign w:val="center"/>
          </w:tcPr>
          <w:p>
            <w:r/>
            <w:r>
              <w:rPr>
                <w:b w:val="0"/>
                <w:sz w:val="17"/>
              </w:rPr>
              <w:t>Discovery</w:t>
            </w:r>
          </w:p>
        </w:tc>
        <w:tc>
          <w:tcPr>
            <w:tcW w:type="dxa" w:w="5328"/>
            <w:vAlign w:val="center"/>
          </w:tcPr>
          <w:p>
            <w:r/>
            <w:r>
              <w:rPr>
                <w:b w:val="0"/>
                <w:sz w:val="17"/>
              </w:rPr>
              <w:t>Reduces manual setup and documentation drift.</w:t>
            </w:r>
          </w:p>
        </w:tc>
      </w:tr>
      <w:tr>
        <w:tc>
          <w:tcPr>
            <w:tcW w:type="dxa" w:w="1440"/>
            <w:vAlign w:val="center"/>
          </w:tcPr>
          <w:p>
            <w:r/>
            <w:r>
              <w:rPr>
                <w:b w:val="0"/>
                <w:sz w:val="17"/>
              </w:rPr>
              <w:t>v2.0.0</w:t>
            </w:r>
          </w:p>
        </w:tc>
        <w:tc>
          <w:tcPr>
            <w:tcW w:type="dxa" w:w="3168"/>
            <w:vAlign w:val="center"/>
          </w:tcPr>
          <w:p>
            <w:r/>
            <w:r>
              <w:rPr>
                <w:b w:val="0"/>
                <w:sz w:val="17"/>
              </w:rPr>
              <w:t>Dependency intelligence</w:t>
            </w:r>
          </w:p>
        </w:tc>
        <w:tc>
          <w:tcPr>
            <w:tcW w:type="dxa" w:w="5328"/>
            <w:vAlign w:val="center"/>
          </w:tcPr>
          <w:p>
            <w:r/>
            <w:r>
              <w:rPr>
                <w:b w:val="0"/>
                <w:sz w:val="17"/>
              </w:rPr>
              <w:t>Strong differentiator for recovery and impact analysis.</w:t>
            </w:r>
          </w:p>
        </w:tc>
      </w:tr>
      <w:tr>
        <w:tc>
          <w:tcPr>
            <w:tcW w:type="dxa" w:w="1440"/>
            <w:vAlign w:val="center"/>
          </w:tcPr>
          <w:p>
            <w:r/>
            <w:r>
              <w:rPr>
                <w:b w:val="0"/>
                <w:sz w:val="17"/>
              </w:rPr>
              <w:t>v2.5.0</w:t>
            </w:r>
          </w:p>
        </w:tc>
        <w:tc>
          <w:tcPr>
            <w:tcW w:type="dxa" w:w="3168"/>
            <w:vAlign w:val="center"/>
          </w:tcPr>
          <w:p>
            <w:r/>
            <w:r>
              <w:rPr>
                <w:b w:val="0"/>
                <w:sz w:val="17"/>
              </w:rPr>
              <w:t>Governance engine</w:t>
            </w:r>
          </w:p>
        </w:tc>
        <w:tc>
          <w:tcPr>
            <w:tcW w:type="dxa" w:w="5328"/>
            <w:vAlign w:val="center"/>
          </w:tcPr>
          <w:p>
            <w:r/>
            <w:r>
              <w:rPr>
                <w:b w:val="0"/>
                <w:sz w:val="17"/>
              </w:rPr>
              <w:t>Useful for clients, MSPs, and audit-heavy environments.</w:t>
            </w:r>
          </w:p>
        </w:tc>
      </w:tr>
      <w:tr>
        <w:tc>
          <w:tcPr>
            <w:tcW w:type="dxa" w:w="1440"/>
            <w:vAlign w:val="center"/>
          </w:tcPr>
          <w:p>
            <w:r/>
            <w:r>
              <w:rPr>
                <w:b w:val="0"/>
                <w:sz w:val="17"/>
              </w:rPr>
              <w:t>v3.0.0</w:t>
            </w:r>
          </w:p>
        </w:tc>
        <w:tc>
          <w:tcPr>
            <w:tcW w:type="dxa" w:w="3168"/>
            <w:vAlign w:val="center"/>
          </w:tcPr>
          <w:p>
            <w:r/>
            <w:r>
              <w:rPr>
                <w:b w:val="0"/>
                <w:sz w:val="17"/>
              </w:rPr>
              <w:t>Controlled orchestration</w:t>
            </w:r>
          </w:p>
        </w:tc>
        <w:tc>
          <w:tcPr>
            <w:tcW w:type="dxa" w:w="5328"/>
            <w:vAlign w:val="center"/>
          </w:tcPr>
          <w:p>
            <w:r/>
            <w:r>
              <w:rPr>
                <w:b w:val="0"/>
                <w:sz w:val="17"/>
              </w:rPr>
              <w:t>Moves from visibility into safe action.</w:t>
            </w:r>
          </w:p>
        </w:tc>
      </w:tr>
      <w:tr>
        <w:tc>
          <w:tcPr>
            <w:tcW w:type="dxa" w:w="1440"/>
            <w:vAlign w:val="center"/>
          </w:tcPr>
          <w:p>
            <w:r/>
            <w:r>
              <w:rPr>
                <w:b w:val="0"/>
                <w:sz w:val="17"/>
              </w:rPr>
              <w:t>v4.0.0</w:t>
            </w:r>
          </w:p>
        </w:tc>
        <w:tc>
          <w:tcPr>
            <w:tcW w:type="dxa" w:w="3168"/>
            <w:vAlign w:val="center"/>
          </w:tcPr>
          <w:p>
            <w:r/>
            <w:r>
              <w:rPr>
                <w:b w:val="0"/>
                <w:sz w:val="17"/>
              </w:rPr>
              <w:t>Recovery intelligence</w:t>
            </w:r>
          </w:p>
        </w:tc>
        <w:tc>
          <w:tcPr>
            <w:tcW w:type="dxa" w:w="5328"/>
            <w:vAlign w:val="center"/>
          </w:tcPr>
          <w:p>
            <w:r/>
            <w:r>
              <w:rPr>
                <w:b w:val="0"/>
                <w:sz w:val="17"/>
              </w:rPr>
              <w:t>Flagship paid/professional capability.</w:t>
            </w:r>
          </w:p>
        </w:tc>
      </w:tr>
      <w:tr>
        <w:tc>
          <w:tcPr>
            <w:tcW w:type="dxa" w:w="1440"/>
            <w:vAlign w:val="center"/>
          </w:tcPr>
          <w:p>
            <w:r/>
            <w:r>
              <w:rPr>
                <w:b w:val="0"/>
                <w:sz w:val="17"/>
              </w:rPr>
              <w:t>v5.0.0</w:t>
            </w:r>
          </w:p>
        </w:tc>
        <w:tc>
          <w:tcPr>
            <w:tcW w:type="dxa" w:w="3168"/>
            <w:vAlign w:val="center"/>
          </w:tcPr>
          <w:p>
            <w:r/>
            <w:r>
              <w:rPr>
                <w:b w:val="0"/>
                <w:sz w:val="17"/>
              </w:rPr>
              <w:t>Autonomous operations assistance</w:t>
            </w:r>
          </w:p>
        </w:tc>
        <w:tc>
          <w:tcPr>
            <w:tcW w:type="dxa" w:w="5328"/>
            <w:vAlign w:val="center"/>
          </w:tcPr>
          <w:p>
            <w:r/>
            <w:r>
              <w:rPr>
                <w:b w:val="0"/>
                <w:sz w:val="17"/>
              </w:rPr>
              <w:t>Long-term platform brain direction.</w:t>
            </w:r>
          </w:p>
        </w:tc>
      </w:tr>
    </w:tbl>
    <w:p/>
    <w:p>
      <w:pPr>
        <w:pStyle w:val="Heading1"/>
      </w:pPr>
      <w:r>
        <w:t>12. Go-To-Market Path</w:t>
      </w:r>
    </w:p>
    <w:p>
      <w:pPr>
        <w:pStyle w:val="ListNumber"/>
      </w:pPr>
      <w:r>
        <w:t>Use House of Trae as the reference implementation and proving ground.</w:t>
      </w:r>
    </w:p>
    <w:p>
      <w:pPr>
        <w:pStyle w:val="ListNumber"/>
      </w:pPr>
      <w:r>
        <w:t>Document real operational problems solved by PrivateNexus, especially backup, restore, and visibility improvements.</w:t>
      </w:r>
    </w:p>
    <w:p>
      <w:pPr>
        <w:pStyle w:val="ListNumber"/>
      </w:pPr>
      <w:r>
        <w:t>Publish a community edition once the product can be installed repeatably.</w:t>
      </w:r>
    </w:p>
    <w:p>
      <w:pPr>
        <w:pStyle w:val="ListNumber"/>
      </w:pPr>
      <w:r>
        <w:t>Create clear demos showing recovery readiness, dependency chains, and audit trails.</w:t>
      </w:r>
    </w:p>
    <w:p>
      <w:pPr>
        <w:pStyle w:val="ListNumber"/>
      </w:pPr>
      <w:r>
        <w:t>Target advanced self-hosters first, then small businesses and MSP-style operators.</w:t>
      </w:r>
    </w:p>
    <w:p>
      <w:pPr>
        <w:pStyle w:val="ListNumber"/>
      </w:pPr>
      <w:r>
        <w:t>Introduce paid professional features only after community trust and product stability exist.</w:t>
      </w:r>
    </w:p>
    <w:p>
      <w:pPr>
        <w:pStyle w:val="Heading1"/>
      </w:pPr>
      <w:r>
        <w:t>13. Proof Points Needed Before Monetisation</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1F2937"/>
          </w:tcPr>
          <w:p>
            <w:r>
              <w:rPr>
                <w:color w:val="FFFFFF"/>
              </w:rPr>
            </w:r>
            <w:r>
              <w:rPr>
                <w:b/>
                <w:color w:val="FFFFFF"/>
                <w:sz w:val="17"/>
              </w:rPr>
              <w:t>Proof Point</w:t>
            </w:r>
          </w:p>
        </w:tc>
        <w:tc>
          <w:tcPr>
            <w:tcW w:type="dxa" w:w="6336"/>
            <w:vAlign w:val="center"/>
            <w:shd w:fill="1F2937"/>
          </w:tcPr>
          <w:p>
            <w:r>
              <w:rPr>
                <w:color w:val="FFFFFF"/>
              </w:rPr>
            </w:r>
            <w:r>
              <w:rPr>
                <w:b/>
                <w:color w:val="FFFFFF"/>
                <w:sz w:val="17"/>
              </w:rPr>
              <w:t>Why It Matters</w:t>
            </w:r>
          </w:p>
        </w:tc>
      </w:tr>
      <w:tr>
        <w:tc>
          <w:tcPr>
            <w:tcW w:type="dxa" w:w="3456"/>
            <w:vAlign w:val="center"/>
          </w:tcPr>
          <w:p>
            <w:r/>
            <w:r>
              <w:rPr>
                <w:b w:val="0"/>
                <w:sz w:val="17"/>
              </w:rPr>
              <w:t>Stable install process</w:t>
            </w:r>
          </w:p>
        </w:tc>
        <w:tc>
          <w:tcPr>
            <w:tcW w:type="dxa" w:w="6336"/>
            <w:vAlign w:val="center"/>
          </w:tcPr>
          <w:p>
            <w:r/>
            <w:r>
              <w:rPr>
                <w:b w:val="0"/>
                <w:sz w:val="17"/>
              </w:rPr>
              <w:t>No one pays for a product that is painful to deploy.</w:t>
            </w:r>
          </w:p>
        </w:tc>
      </w:tr>
      <w:tr>
        <w:tc>
          <w:tcPr>
            <w:tcW w:type="dxa" w:w="3456"/>
            <w:vAlign w:val="center"/>
          </w:tcPr>
          <w:p>
            <w:r/>
            <w:r>
              <w:rPr>
                <w:b w:val="0"/>
                <w:sz w:val="17"/>
              </w:rPr>
              <w:t>Clear upgrade path</w:t>
            </w:r>
          </w:p>
        </w:tc>
        <w:tc>
          <w:tcPr>
            <w:tcW w:type="dxa" w:w="6336"/>
            <w:vAlign w:val="center"/>
          </w:tcPr>
          <w:p>
            <w:r/>
            <w:r>
              <w:rPr>
                <w:b w:val="0"/>
                <w:sz w:val="17"/>
              </w:rPr>
              <w:t>Commercial users need confidence that updates will not break their platform.</w:t>
            </w:r>
          </w:p>
        </w:tc>
      </w:tr>
      <w:tr>
        <w:tc>
          <w:tcPr>
            <w:tcW w:type="dxa" w:w="3456"/>
            <w:vAlign w:val="center"/>
          </w:tcPr>
          <w:p>
            <w:r/>
            <w:r>
              <w:rPr>
                <w:b w:val="0"/>
                <w:sz w:val="17"/>
              </w:rPr>
              <w:t>Backups and restores proven in practice</w:t>
            </w:r>
          </w:p>
        </w:tc>
        <w:tc>
          <w:tcPr>
            <w:tcW w:type="dxa" w:w="6336"/>
            <w:vAlign w:val="center"/>
          </w:tcPr>
          <w:p>
            <w:r/>
            <w:r>
              <w:rPr>
                <w:b w:val="0"/>
                <w:sz w:val="17"/>
              </w:rPr>
              <w:t>Recovery intelligence must be more than a UI claim.</w:t>
            </w:r>
          </w:p>
        </w:tc>
      </w:tr>
      <w:tr>
        <w:tc>
          <w:tcPr>
            <w:tcW w:type="dxa" w:w="3456"/>
            <w:vAlign w:val="center"/>
          </w:tcPr>
          <w:p>
            <w:r/>
            <w:r>
              <w:rPr>
                <w:b w:val="0"/>
                <w:sz w:val="17"/>
              </w:rPr>
              <w:t>RBAC and audit logs working</w:t>
            </w:r>
          </w:p>
        </w:tc>
        <w:tc>
          <w:tcPr>
            <w:tcW w:type="dxa" w:w="6336"/>
            <w:vAlign w:val="center"/>
          </w:tcPr>
          <w:p>
            <w:r/>
            <w:r>
              <w:rPr>
                <w:b w:val="0"/>
                <w:sz w:val="17"/>
              </w:rPr>
              <w:t>Business customers require accountability.</w:t>
            </w:r>
          </w:p>
        </w:tc>
      </w:tr>
      <w:tr>
        <w:tc>
          <w:tcPr>
            <w:tcW w:type="dxa" w:w="3456"/>
            <w:vAlign w:val="center"/>
          </w:tcPr>
          <w:p>
            <w:r/>
            <w:r>
              <w:rPr>
                <w:b w:val="0"/>
                <w:sz w:val="17"/>
              </w:rPr>
              <w:t>Tenant model functional</w:t>
            </w:r>
          </w:p>
        </w:tc>
        <w:tc>
          <w:tcPr>
            <w:tcW w:type="dxa" w:w="6336"/>
            <w:vAlign w:val="center"/>
          </w:tcPr>
          <w:p>
            <w:r/>
            <w:r>
              <w:rPr>
                <w:b w:val="0"/>
                <w:sz w:val="17"/>
              </w:rPr>
              <w:t>Future client support depends on it.</w:t>
            </w:r>
          </w:p>
        </w:tc>
      </w:tr>
      <w:tr>
        <w:tc>
          <w:tcPr>
            <w:tcW w:type="dxa" w:w="3456"/>
            <w:vAlign w:val="center"/>
          </w:tcPr>
          <w:p>
            <w:r/>
            <w:r>
              <w:rPr>
                <w:b w:val="0"/>
                <w:sz w:val="17"/>
              </w:rPr>
              <w:t>Documentation complete enough for strangers</w:t>
            </w:r>
          </w:p>
        </w:tc>
        <w:tc>
          <w:tcPr>
            <w:tcW w:type="dxa" w:w="6336"/>
            <w:vAlign w:val="center"/>
          </w:tcPr>
          <w:p>
            <w:r/>
            <w:r>
              <w:rPr>
                <w:b w:val="0"/>
                <w:sz w:val="17"/>
              </w:rPr>
              <w:t>Commercialisation requires repeatability beyond the creator.</w:t>
            </w:r>
          </w:p>
        </w:tc>
      </w:tr>
    </w:tbl>
    <w:p/>
    <w:p>
      <w:pPr>
        <w:pStyle w:val="Heading1"/>
      </w:pPr>
      <w:r>
        <w:t>14. Strategic Risks</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center"/>
            <w:shd w:fill="1F2937"/>
          </w:tcPr>
          <w:p>
            <w:r>
              <w:rPr>
                <w:color w:val="FFFFFF"/>
              </w:rPr>
            </w:r>
            <w:r>
              <w:rPr>
                <w:b/>
                <w:color w:val="FFFFFF"/>
                <w:sz w:val="17"/>
              </w:rPr>
              <w:t>Risk</w:t>
            </w:r>
          </w:p>
        </w:tc>
        <w:tc>
          <w:tcPr>
            <w:tcW w:type="dxa" w:w="3024"/>
            <w:vAlign w:val="center"/>
            <w:shd w:fill="1F2937"/>
          </w:tcPr>
          <w:p>
            <w:r>
              <w:rPr>
                <w:color w:val="FFFFFF"/>
              </w:rPr>
            </w:r>
            <w:r>
              <w:rPr>
                <w:b/>
                <w:color w:val="FFFFFF"/>
                <w:sz w:val="17"/>
              </w:rPr>
              <w:t>Impact</w:t>
            </w:r>
          </w:p>
        </w:tc>
        <w:tc>
          <w:tcPr>
            <w:tcW w:type="dxa" w:w="3600"/>
            <w:vAlign w:val="center"/>
            <w:shd w:fill="1F2937"/>
          </w:tcPr>
          <w:p>
            <w:r>
              <w:rPr>
                <w:color w:val="FFFFFF"/>
              </w:rPr>
            </w:r>
            <w:r>
              <w:rPr>
                <w:b/>
                <w:color w:val="FFFFFF"/>
                <w:sz w:val="17"/>
              </w:rPr>
              <w:t>Mitigation</w:t>
            </w:r>
          </w:p>
        </w:tc>
      </w:tr>
      <w:tr>
        <w:tc>
          <w:tcPr>
            <w:tcW w:type="dxa" w:w="3168"/>
            <w:vAlign w:val="center"/>
          </w:tcPr>
          <w:p>
            <w:r/>
            <w:r>
              <w:rPr>
                <w:b w:val="0"/>
                <w:sz w:val="17"/>
              </w:rPr>
              <w:t>Trying to compete directly with Portainer or Proxmox</w:t>
            </w:r>
          </w:p>
        </w:tc>
        <w:tc>
          <w:tcPr>
            <w:tcW w:type="dxa" w:w="3024"/>
            <w:vAlign w:val="center"/>
          </w:tcPr>
          <w:p>
            <w:r/>
            <w:r>
              <w:rPr>
                <w:b w:val="0"/>
                <w:sz w:val="17"/>
              </w:rPr>
              <w:t>Crowded market with mature competitors.</w:t>
            </w:r>
          </w:p>
        </w:tc>
        <w:tc>
          <w:tcPr>
            <w:tcW w:type="dxa" w:w="3600"/>
            <w:vAlign w:val="center"/>
          </w:tcPr>
          <w:p>
            <w:r/>
            <w:r>
              <w:rPr>
                <w:b w:val="0"/>
                <w:sz w:val="17"/>
              </w:rPr>
              <w:t>Integrate with them instead; focus on higher-level operations intelligence.</w:t>
            </w:r>
          </w:p>
        </w:tc>
      </w:tr>
      <w:tr>
        <w:tc>
          <w:tcPr>
            <w:tcW w:type="dxa" w:w="3168"/>
            <w:vAlign w:val="center"/>
          </w:tcPr>
          <w:p>
            <w:r/>
            <w:r>
              <w:rPr>
                <w:b w:val="0"/>
                <w:sz w:val="17"/>
              </w:rPr>
              <w:t>Feature creep before v1.0</w:t>
            </w:r>
          </w:p>
        </w:tc>
        <w:tc>
          <w:tcPr>
            <w:tcW w:type="dxa" w:w="3024"/>
            <w:vAlign w:val="center"/>
          </w:tcPr>
          <w:p>
            <w:r/>
            <w:r>
              <w:rPr>
                <w:b w:val="0"/>
                <w:sz w:val="17"/>
              </w:rPr>
              <w:t>Delays stability and makes the product hard to explain.</w:t>
            </w:r>
          </w:p>
        </w:tc>
        <w:tc>
          <w:tcPr>
            <w:tcW w:type="dxa" w:w="3600"/>
            <w:vAlign w:val="center"/>
          </w:tcPr>
          <w:p>
            <w:r/>
            <w:r>
              <w:rPr>
                <w:b w:val="0"/>
                <w:sz w:val="17"/>
              </w:rPr>
              <w:t>Keep v1.0 focused on inventory, health, recovery, governance, and safe actions.</w:t>
            </w:r>
          </w:p>
        </w:tc>
      </w:tr>
      <w:tr>
        <w:tc>
          <w:tcPr>
            <w:tcW w:type="dxa" w:w="3168"/>
            <w:vAlign w:val="center"/>
          </w:tcPr>
          <w:p>
            <w:r/>
            <w:r>
              <w:rPr>
                <w:b w:val="0"/>
                <w:sz w:val="17"/>
              </w:rPr>
              <w:t>Retrofitting multi-tenancy later</w:t>
            </w:r>
          </w:p>
        </w:tc>
        <w:tc>
          <w:tcPr>
            <w:tcW w:type="dxa" w:w="3024"/>
            <w:vAlign w:val="center"/>
          </w:tcPr>
          <w:p>
            <w:r/>
            <w:r>
              <w:rPr>
                <w:b w:val="0"/>
                <w:sz w:val="17"/>
              </w:rPr>
              <w:t>Painful database and permission migration.</w:t>
            </w:r>
          </w:p>
        </w:tc>
        <w:tc>
          <w:tcPr>
            <w:tcW w:type="dxa" w:w="3600"/>
            <w:vAlign w:val="center"/>
          </w:tcPr>
          <w:p>
            <w:r/>
            <w:r>
              <w:rPr>
                <w:b w:val="0"/>
                <w:sz w:val="17"/>
              </w:rPr>
              <w:t>Add tenant-aware data structures early.</w:t>
            </w:r>
          </w:p>
        </w:tc>
      </w:tr>
      <w:tr>
        <w:tc>
          <w:tcPr>
            <w:tcW w:type="dxa" w:w="3168"/>
            <w:vAlign w:val="center"/>
          </w:tcPr>
          <w:p>
            <w:r/>
            <w:r>
              <w:rPr>
                <w:b w:val="0"/>
                <w:sz w:val="17"/>
              </w:rPr>
              <w:t>Unsafe automation</w:t>
            </w:r>
          </w:p>
        </w:tc>
        <w:tc>
          <w:tcPr>
            <w:tcW w:type="dxa" w:w="3024"/>
            <w:vAlign w:val="center"/>
          </w:tcPr>
          <w:p>
            <w:r/>
            <w:r>
              <w:rPr>
                <w:b w:val="0"/>
                <w:sz w:val="17"/>
              </w:rPr>
              <w:t>Security and trust risk.</w:t>
            </w:r>
          </w:p>
        </w:tc>
        <w:tc>
          <w:tcPr>
            <w:tcW w:type="dxa" w:w="3600"/>
            <w:vAlign w:val="center"/>
          </w:tcPr>
          <w:p>
            <w:r/>
            <w:r>
              <w:rPr>
                <w:b w:val="0"/>
                <w:sz w:val="17"/>
              </w:rPr>
              <w:t>Use policies, approvals, audit logs, scoped tokens, and agents.</w:t>
            </w:r>
          </w:p>
        </w:tc>
      </w:tr>
      <w:tr>
        <w:tc>
          <w:tcPr>
            <w:tcW w:type="dxa" w:w="3168"/>
            <w:vAlign w:val="center"/>
          </w:tcPr>
          <w:p>
            <w:r/>
            <w:r>
              <w:rPr>
                <w:b w:val="0"/>
                <w:sz w:val="17"/>
              </w:rPr>
              <w:t>Poor documentation</w:t>
            </w:r>
          </w:p>
        </w:tc>
        <w:tc>
          <w:tcPr>
            <w:tcW w:type="dxa" w:w="3024"/>
            <w:vAlign w:val="center"/>
          </w:tcPr>
          <w:p>
            <w:r/>
            <w:r>
              <w:rPr>
                <w:b w:val="0"/>
                <w:sz w:val="17"/>
              </w:rPr>
              <w:t>Blocks adoption and support.</w:t>
            </w:r>
          </w:p>
        </w:tc>
        <w:tc>
          <w:tcPr>
            <w:tcW w:type="dxa" w:w="3600"/>
            <w:vAlign w:val="center"/>
          </w:tcPr>
          <w:p>
            <w:r/>
            <w:r>
              <w:rPr>
                <w:b w:val="0"/>
                <w:sz w:val="17"/>
              </w:rPr>
              <w:t>Treat docs as product, not afterthought.</w:t>
            </w:r>
          </w:p>
        </w:tc>
      </w:tr>
    </w:tbl>
    <w:p/>
    <w:p>
      <w:pPr>
        <w:pStyle w:val="Heading1"/>
      </w:pPr>
      <w:r>
        <w:t>15. Recommended Immediate Decisions</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1F2937"/>
          </w:tcPr>
          <w:p>
            <w:r>
              <w:rPr>
                <w:color w:val="FFFFFF"/>
              </w:rPr>
            </w:r>
            <w:r>
              <w:rPr>
                <w:b/>
                <w:color w:val="FFFFFF"/>
                <w:sz w:val="17"/>
              </w:rPr>
              <w:t>Decision</w:t>
            </w:r>
          </w:p>
        </w:tc>
        <w:tc>
          <w:tcPr>
            <w:tcW w:type="dxa" w:w="6768"/>
            <w:vAlign w:val="center"/>
            <w:shd w:fill="1F2937"/>
          </w:tcPr>
          <w:p>
            <w:r>
              <w:rPr>
                <w:color w:val="FFFFFF"/>
              </w:rPr>
            </w:r>
            <w:r>
              <w:rPr>
                <w:b/>
                <w:color w:val="FFFFFF"/>
                <w:sz w:val="17"/>
              </w:rPr>
              <w:t>Recommendation</w:t>
            </w:r>
          </w:p>
        </w:tc>
      </w:tr>
      <w:tr>
        <w:tc>
          <w:tcPr>
            <w:tcW w:type="dxa" w:w="3024"/>
            <w:vAlign w:val="center"/>
          </w:tcPr>
          <w:p>
            <w:r/>
            <w:r>
              <w:rPr>
                <w:b w:val="0"/>
                <w:sz w:val="17"/>
              </w:rPr>
              <w:t>Product category</w:t>
            </w:r>
          </w:p>
        </w:tc>
        <w:tc>
          <w:tcPr>
            <w:tcW w:type="dxa" w:w="6768"/>
            <w:vAlign w:val="center"/>
          </w:tcPr>
          <w:p>
            <w:r/>
            <w:r>
              <w:rPr>
                <w:b w:val="0"/>
                <w:sz w:val="17"/>
              </w:rPr>
              <w:t>Infrastructure Operations Platform.</w:t>
            </w:r>
          </w:p>
        </w:tc>
      </w:tr>
      <w:tr>
        <w:tc>
          <w:tcPr>
            <w:tcW w:type="dxa" w:w="3024"/>
            <w:vAlign w:val="center"/>
          </w:tcPr>
          <w:p>
            <w:r/>
            <w:r>
              <w:rPr>
                <w:b w:val="0"/>
                <w:sz w:val="17"/>
              </w:rPr>
              <w:t>Commercial model</w:t>
            </w:r>
          </w:p>
        </w:tc>
        <w:tc>
          <w:tcPr>
            <w:tcW w:type="dxa" w:w="6768"/>
            <w:vAlign w:val="center"/>
          </w:tcPr>
          <w:p>
            <w:r/>
            <w:r>
              <w:rPr>
                <w:b w:val="0"/>
                <w:sz w:val="17"/>
              </w:rPr>
              <w:t>Open-core path with professional and managed options later.</w:t>
            </w:r>
          </w:p>
        </w:tc>
      </w:tr>
      <w:tr>
        <w:tc>
          <w:tcPr>
            <w:tcW w:type="dxa" w:w="3024"/>
            <w:vAlign w:val="center"/>
          </w:tcPr>
          <w:p>
            <w:r/>
            <w:r>
              <w:rPr>
                <w:b w:val="0"/>
                <w:sz w:val="17"/>
              </w:rPr>
              <w:t>Tenancy model</w:t>
            </w:r>
          </w:p>
        </w:tc>
        <w:tc>
          <w:tcPr>
            <w:tcW w:type="dxa" w:w="6768"/>
            <w:vAlign w:val="center"/>
          </w:tcPr>
          <w:p>
            <w:r/>
            <w:r>
              <w:rPr>
                <w:b w:val="0"/>
                <w:sz w:val="17"/>
              </w:rPr>
              <w:t>Tenant-aware from v1.0.</w:t>
            </w:r>
          </w:p>
        </w:tc>
      </w:tr>
      <w:tr>
        <w:tc>
          <w:tcPr>
            <w:tcW w:type="dxa" w:w="3024"/>
            <w:vAlign w:val="center"/>
          </w:tcPr>
          <w:p>
            <w:r/>
            <w:r>
              <w:rPr>
                <w:b w:val="0"/>
                <w:sz w:val="17"/>
              </w:rPr>
              <w:t>Primary differentiator</w:t>
            </w:r>
          </w:p>
        </w:tc>
        <w:tc>
          <w:tcPr>
            <w:tcW w:type="dxa" w:w="6768"/>
            <w:vAlign w:val="center"/>
          </w:tcPr>
          <w:p>
            <w:r/>
            <w:r>
              <w:rPr>
                <w:b w:val="0"/>
                <w:sz w:val="17"/>
              </w:rPr>
              <w:t>Recovery intelligence and dependency-aware operations.</w:t>
            </w:r>
          </w:p>
        </w:tc>
      </w:tr>
      <w:tr>
        <w:tc>
          <w:tcPr>
            <w:tcW w:type="dxa" w:w="3024"/>
            <w:vAlign w:val="center"/>
          </w:tcPr>
          <w:p>
            <w:r/>
            <w:r>
              <w:rPr>
                <w:b w:val="0"/>
                <w:sz w:val="17"/>
              </w:rPr>
              <w:t>Initial market</w:t>
            </w:r>
          </w:p>
        </w:tc>
        <w:tc>
          <w:tcPr>
            <w:tcW w:type="dxa" w:w="6768"/>
            <w:vAlign w:val="center"/>
          </w:tcPr>
          <w:p>
            <w:r/>
            <w:r>
              <w:rPr>
                <w:b w:val="0"/>
                <w:sz w:val="17"/>
              </w:rPr>
              <w:t>House of Trae internal businesses, then advanced self-hosters and small businesses.</w:t>
            </w:r>
          </w:p>
        </w:tc>
      </w:tr>
      <w:tr>
        <w:tc>
          <w:tcPr>
            <w:tcW w:type="dxa" w:w="3024"/>
            <w:vAlign w:val="center"/>
          </w:tcPr>
          <w:p>
            <w:r/>
            <w:r>
              <w:rPr>
                <w:b w:val="0"/>
                <w:sz w:val="17"/>
              </w:rPr>
              <w:t>Core product pillars</w:t>
            </w:r>
          </w:p>
        </w:tc>
        <w:tc>
          <w:tcPr>
            <w:tcW w:type="dxa" w:w="6768"/>
            <w:vAlign w:val="center"/>
          </w:tcPr>
          <w:p>
            <w:r/>
            <w:r>
              <w:rPr>
                <w:b w:val="0"/>
                <w:sz w:val="17"/>
              </w:rPr>
              <w:t>Inventory, Health, Recovery, Governance, Automation.</w:t>
            </w:r>
          </w:p>
        </w:tc>
      </w:tr>
    </w:tbl>
    <w:p/>
    <w:p>
      <w:pPr>
        <w:pStyle w:val="Heading1"/>
      </w:pPr>
      <w:r>
        <w:t>16. Final Positioning Statement</w:t>
      </w:r>
    </w:p>
    <w:p>
      <w:r>
        <w:t>PrivateNexus is a self-hosted infrastructure operations platform for operators, small businesses, and future client environments. It provides service inventory, health visibility, recovery intelligence, governance, and safe automation without replacing specialist tools such as Proxmox, Caddy, Keycloak, PowerDNS, Grafana, or Portainer.</w:t>
      </w:r>
    </w:p>
    <w:p>
      <w:r>
        <w:t>Its strongest commercial opportunity is not dashboard convenience. It is confidence: knowing what exists, what is broken, what can be restored, who changed what, and which actions are safe to perform.</w:t>
      </w:r>
    </w:p>
    <w:tbl>
      <w:tblPr>
        <w:tblStyle w:val="TableGrid"/>
        <w:tblW w:type="auto" w:w="0"/>
        <w:jc w:val="center"/>
        <w:tblLook w:firstColumn="1" w:firstRow="1" w:lastColumn="0" w:lastRow="0" w:noHBand="0" w:noVBand="1" w:val="04A0"/>
      </w:tblPr>
      <w:tblGrid>
        <w:gridCol w:w="10368"/>
      </w:tblGrid>
      <w:tr>
        <w:tc>
          <w:tcPr>
            <w:tcW w:type="dxa" w:w="10368"/>
            <w:shd w:fill="DBEAFE"/>
          </w:tcPr>
          <w:p>
            <w:r/>
            <w:r>
              <w:rPr>
                <w:b/>
                <w:sz w:val="20"/>
              </w:rPr>
              <w:t>North Star</w:t>
            </w:r>
          </w:p>
          <w:p>
            <w:pPr>
              <w:spacing w:after="0"/>
            </w:pPr>
            <w:r>
              <w:t>PrivateNexus should become the secure operational brain above the stack: not the engine room itself, but the cockpit that makes the engine room understandable, recoverable, and governable.</w:t>
            </w:r>
          </w:p>
        </w:tc>
      </w:tr>
    </w:tbl>
    <w:p/>
    <w:p>
      <w:pPr>
        <w:pStyle w:val="Heading1"/>
      </w:pPr>
      <w:r>
        <w:t>17. Next Document Set</w:t>
      </w:r>
    </w:p>
    <w:p>
      <w:r>
        <w:t>This commercial strategy document should feed directly into the following formal documents:</w:t>
      </w:r>
    </w:p>
    <w:p>
      <w:pPr>
        <w:pStyle w:val="ListBullet"/>
      </w:pPr>
      <w:r>
        <w:t>PrivateNexus Product Requirements Document (PRD)</w:t>
      </w:r>
    </w:p>
    <w:p>
      <w:pPr>
        <w:pStyle w:val="ListBullet"/>
      </w:pPr>
      <w:r>
        <w:t>PrivateNexus Technical Architecture Specification</w:t>
      </w:r>
    </w:p>
    <w:p>
      <w:pPr>
        <w:pStyle w:val="ListBullet"/>
      </w:pPr>
      <w:r>
        <w:t>PrivateNexus Detailed Release Roadmap v0.8 to v5.0</w:t>
      </w:r>
    </w:p>
    <w:p>
      <w:pPr>
        <w:pStyle w:val="ListBullet"/>
      </w:pPr>
      <w:r>
        <w:t>PrivateNexus Multi-Tenancy and RBAC Design</w:t>
      </w:r>
    </w:p>
    <w:p>
      <w:pPr>
        <w:pStyle w:val="ListBullet"/>
      </w:pPr>
      <w:r>
        <w:t>PrivateNexus Commercial Packaging and Licensing Plan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House of Trae Group - Internal Strategy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PrivateNexus Commercial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PrivateNexus Commercial Product Strategy and Monetisation Blueprint</dc:title>
  <dc:subject>Commercial strategy for PrivateNexus as an infrastructure operations platform</dc:subject>
  <dc:creator>House of Trae Group</dc:creator>
  <cp:keywords>PrivateNexus, infrastructure operations, self-hosted, recovery intelligence, governance, commercial strategy</cp:keywords>
  <dc:description>Generated as a structured draft for review.</dc:description>
  <cp:lastModifiedBy/>
  <cp:revision>1</cp:revision>
  <dcterms:created xsi:type="dcterms:W3CDTF">2013-12-23T23:15:00Z</dcterms:created>
  <dcterms:modified xsi:type="dcterms:W3CDTF">2013-12-23T23:15:00Z</dcterms:modified>
  <cp:category/>
</cp:coreProperties>
</file>