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40C65F">
      <w:pPr>
        <w:spacing w:after="0"/>
        <w:rPr>
          <w:rFonts w:ascii="Arial" w:hAnsi="Arial" w:cs="Arial"/>
          <w:sz w:val="36"/>
          <w:szCs w:val="36"/>
        </w:rPr>
      </w:pPr>
      <w:r>
        <w:rPr>
          <w:rFonts w:ascii="Arial" w:hAnsi="Arial" w:cs="Arial"/>
          <w:sz w:val="36"/>
          <w:szCs w:val="36"/>
        </w:rPr>
        <w:t xml:space="preserve">Audit agenda </w:t>
      </w:r>
    </w:p>
    <w:p w14:paraId="1E98F404">
      <w:pPr>
        <w:spacing w:line="240" w:lineRule="auto"/>
        <w:rPr>
          <w:rFonts w:ascii="Arial" w:hAnsi="Arial" w:cs="Arial"/>
          <w:sz w:val="36"/>
          <w:szCs w:val="36"/>
        </w:rPr>
      </w:pPr>
      <w:r>
        <w:rPr>
          <w:rFonts w:hint="eastAsia" w:ascii="Arial" w:hAnsi="Arial" w:eastAsia="等线" w:cs="Arial"/>
          <w:sz w:val="36"/>
          <w:szCs w:val="36"/>
        </w:rPr>
        <w:t>审计议程</w:t>
      </w:r>
    </w:p>
    <w:p w14:paraId="01861CDE">
      <w:pPr>
        <w:spacing w:after="0"/>
        <w:rPr>
          <w:rFonts w:ascii="Arial" w:hAnsi="Arial" w:cs="Arial"/>
        </w:rPr>
      </w:pPr>
      <w:r>
        <w:rPr>
          <w:rFonts w:ascii="Arial" w:hAnsi="Arial" w:cs="Arial"/>
        </w:rPr>
        <w:t>UBA (Recommendation for attestation of conformity of product hygiene suitability for drinking water)</w:t>
      </w:r>
    </w:p>
    <w:p w14:paraId="710B96B2">
      <w:pPr>
        <w:spacing w:line="240" w:lineRule="auto"/>
        <w:rPr>
          <w:rFonts w:hint="eastAsia" w:ascii="Arial" w:hAnsi="Arial" w:eastAsia="等线" w:cs="Arial"/>
        </w:rPr>
      </w:pPr>
      <w:r>
        <w:rPr>
          <w:rFonts w:hint="eastAsia" w:ascii="Arial" w:hAnsi="Arial" w:eastAsia="等线" w:cs="Arial"/>
        </w:rPr>
        <w:t>饮用水产品卫生适宜性合格认证推荐标准</w:t>
      </w:r>
    </w:p>
    <w:p w14:paraId="6AA5AF83">
      <w:pPr>
        <w:spacing w:line="240" w:lineRule="auto"/>
        <w:rPr>
          <w:rFonts w:hint="eastAsia" w:ascii="Arial" w:hAnsi="Arial" w:eastAsia="等线" w:cs="Arial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审核的目的是通过评估你们的质量管理体系、工厂生产控制、原材料处理、可追溯性、实验室检测和客户投诉来</w:t>
      </w:r>
      <w:bookmarkStart w:id="0" w:name="_GoBack"/>
      <w:bookmarkEnd w:id="0"/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评估你们获证产品的一致性。</w:t>
      </w:r>
    </w:p>
    <w:p w14:paraId="6466C8B4">
      <w:pPr>
        <w:rPr>
          <w:rFonts w:ascii="Arial" w:hAnsi="Arial" w:cs="Arial"/>
          <w:b/>
          <w:lang w:val="en-GB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shd w:val="clear" w:fill="FFFFFF"/>
        </w:rPr>
        <w:t>审核将在工厂的正常工作时间内进行，并要求工厂的审核员允许进入整个场所，包括文件、车间、办公室和员工。质量经理和负责工厂生产控制（FPC）的人员应参加并跟踪此审核，最好生产经理也应参加。</w:t>
      </w:r>
    </w:p>
    <w:p w14:paraId="6950C3F0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ascii="等线" w:hAnsi="等线" w:eastAsia="等线" w:cs="等线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ascii="Arial" w:hAnsi="Arial" w:eastAsia="等线" w:cs="Arial"/>
          <w:i w:val="0"/>
          <w:iCs w:val="0"/>
          <w:caps w:val="0"/>
          <w:color w:val="auto"/>
          <w:spacing w:val="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Audit plan (changes are reserved):</w:t>
      </w:r>
    </w:p>
    <w:p w14:paraId="7D44F931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等线" w:hAnsi="等线" w:eastAsia="等线" w:cs="等线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Arial" w:hAnsi="Arial" w:eastAsia="等线" w:cs="Arial"/>
          <w:i w:val="0"/>
          <w:iCs w:val="0"/>
          <w:caps w:val="0"/>
          <w:color w:val="auto"/>
          <w:spacing w:val="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9:00-9:30 Introductory round, short presentation of the company and the monitored products (optional).</w:t>
      </w:r>
    </w:p>
    <w:p w14:paraId="083A88FF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等线" w:hAnsi="等线" w:eastAsia="等线" w:cs="等线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Arial" w:hAnsi="Arial" w:eastAsia="等线" w:cs="Arial"/>
          <w:i w:val="0"/>
          <w:iCs w:val="0"/>
          <w:caps w:val="0"/>
          <w:color w:val="auto"/>
          <w:spacing w:val="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9:30-11:00 Clarification of questions about quality management, personnel, documentation, complaints, suppliers.</w:t>
      </w:r>
    </w:p>
    <w:p w14:paraId="052A61F0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等线" w:hAnsi="等线" w:eastAsia="等线" w:cs="等线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Arial" w:hAnsi="Arial" w:eastAsia="等线" w:cs="Arial"/>
          <w:i w:val="0"/>
          <w:iCs w:val="0"/>
          <w:caps w:val="0"/>
          <w:color w:val="auto"/>
          <w:spacing w:val="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11:00-12:30 Company tour and sampling</w:t>
      </w:r>
    </w:p>
    <w:p w14:paraId="50FE0F7D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等线" w:hAnsi="等线" w:eastAsia="等线" w:cs="等线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Arial" w:hAnsi="Arial" w:eastAsia="等线" w:cs="Arial"/>
          <w:i w:val="0"/>
          <w:iCs w:val="0"/>
          <w:caps w:val="0"/>
          <w:color w:val="auto"/>
          <w:spacing w:val="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12:30-13:00 Lunch break</w:t>
      </w:r>
      <w:r>
        <w:rPr>
          <w:rFonts w:hint="default" w:ascii="Arial" w:hAnsi="Arial" w:eastAsia="等线" w:cs="Arial"/>
          <w:i w:val="0"/>
          <w:iCs w:val="0"/>
          <w:caps w:val="0"/>
          <w:color w:val="auto"/>
          <w:spacing w:val="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br w:type="textWrapping"/>
      </w:r>
      <w:r>
        <w:rPr>
          <w:rFonts w:hint="default" w:ascii="Arial" w:hAnsi="Arial" w:eastAsia="等线" w:cs="Arial"/>
          <w:i w:val="0"/>
          <w:iCs w:val="0"/>
          <w:caps w:val="0"/>
          <w:color w:val="auto"/>
          <w:spacing w:val="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13:00-14:30 Clarification of open questions about process control, measuring equipment, calibration, product testing and traceability.</w:t>
      </w:r>
    </w:p>
    <w:p w14:paraId="5C8B5E32">
      <w:pPr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both"/>
        <w:rPr>
          <w:rFonts w:hint="eastAsia" w:ascii="等线" w:hAnsi="等线" w:eastAsia="等线" w:cs="等线"/>
          <w:i w:val="0"/>
          <w:iCs w:val="0"/>
          <w:caps w:val="0"/>
          <w:color w:val="auto"/>
          <w:spacing w:val="0"/>
          <w:sz w:val="21"/>
          <w:szCs w:val="21"/>
        </w:rPr>
      </w:pPr>
      <w:r>
        <w:rPr>
          <w:rFonts w:hint="default" w:ascii="Arial" w:hAnsi="Arial" w:eastAsia="等线" w:cs="Arial"/>
          <w:i w:val="0"/>
          <w:iCs w:val="0"/>
          <w:caps w:val="0"/>
          <w:color w:val="auto"/>
          <w:spacing w:val="0"/>
          <w:kern w:val="0"/>
          <w:sz w:val="20"/>
          <w:szCs w:val="20"/>
          <w:shd w:val="clear" w:fill="FFFFFF"/>
          <w:lang w:val="en-US" w:eastAsia="zh-CN" w:bidi="ar"/>
          <w14:ligatures w14:val="standardContextual"/>
        </w:rPr>
        <w:t>14:30-15:00 Closing round</w:t>
      </w:r>
    </w:p>
    <w:p w14:paraId="1CF4B3D1">
      <w:pPr>
        <w:rPr>
          <w:rFonts w:ascii="Arial" w:hAnsi="Arial" w:cs="Arial"/>
          <w:b/>
          <w:lang w:val="en-GB"/>
        </w:rPr>
      </w:pPr>
    </w:p>
    <w:p w14:paraId="709ABBF3">
      <w:pPr>
        <w:rPr>
          <w:rFonts w:hint="eastAsia" w:ascii="Arial" w:hAnsi="Arial" w:cs="Arial"/>
          <w:b/>
          <w:lang w:val="en-GB"/>
        </w:rPr>
      </w:pPr>
      <w:r>
        <w:rPr>
          <w:rFonts w:hint="eastAsia" w:ascii="Arial" w:hAnsi="Arial" w:cs="Arial"/>
          <w:b/>
          <w:lang w:val="en-GB"/>
        </w:rPr>
        <w:t>审核计划：</w:t>
      </w:r>
    </w:p>
    <w:p w14:paraId="7C4362C8">
      <w:pPr>
        <w:rPr>
          <w:rFonts w:hint="eastAsia" w:ascii="Arial" w:hAnsi="Arial" w:cs="Arial"/>
          <w:b/>
          <w:lang w:val="en-GB"/>
        </w:rPr>
      </w:pPr>
      <w:r>
        <w:rPr>
          <w:rFonts w:hint="eastAsia" w:ascii="Arial" w:hAnsi="Arial" w:cs="Arial"/>
          <w:b/>
          <w:lang w:val="en-GB"/>
        </w:rPr>
        <w:t>9:00-9:30 开场会议，简要介绍公司及受审产品（可选）。</w:t>
      </w:r>
    </w:p>
    <w:p w14:paraId="63BF00A2">
      <w:pPr>
        <w:rPr>
          <w:rFonts w:hint="eastAsia" w:ascii="Arial" w:hAnsi="Arial" w:cs="Arial"/>
          <w:b/>
          <w:lang w:val="en-GB"/>
        </w:rPr>
      </w:pPr>
      <w:r>
        <w:rPr>
          <w:rFonts w:hint="eastAsia" w:ascii="Arial" w:hAnsi="Arial" w:cs="Arial"/>
          <w:b/>
          <w:lang w:val="en-GB"/>
        </w:rPr>
        <w:t>9:30-11:00 质量管理、人员、文件记录、客户投诉、供应商等相关问题的澄清。</w:t>
      </w:r>
    </w:p>
    <w:p w14:paraId="725EC4F7">
      <w:pPr>
        <w:rPr>
          <w:rFonts w:hint="eastAsia" w:ascii="Arial" w:hAnsi="Arial" w:cs="Arial"/>
          <w:b/>
          <w:lang w:val="en-GB"/>
        </w:rPr>
      </w:pPr>
      <w:r>
        <w:rPr>
          <w:rFonts w:hint="eastAsia" w:ascii="Arial" w:hAnsi="Arial" w:cs="Arial"/>
          <w:b/>
          <w:lang w:val="en-GB"/>
        </w:rPr>
        <w:t>11:00-12:30 公司参观及取样。</w:t>
      </w:r>
    </w:p>
    <w:p w14:paraId="78F04C5B">
      <w:pPr>
        <w:rPr>
          <w:rFonts w:hint="eastAsia" w:ascii="Arial" w:hAnsi="Arial" w:cs="Arial"/>
          <w:b/>
          <w:lang w:val="en-GB"/>
        </w:rPr>
      </w:pPr>
      <w:r>
        <w:rPr>
          <w:rFonts w:hint="eastAsia" w:ascii="Arial" w:hAnsi="Arial" w:cs="Arial"/>
          <w:b/>
          <w:lang w:val="en-GB"/>
        </w:rPr>
        <w:t>12:30-13:00 午休。</w:t>
      </w:r>
    </w:p>
    <w:p w14:paraId="25CE46BE">
      <w:pPr>
        <w:rPr>
          <w:rFonts w:hint="eastAsia" w:ascii="Arial" w:hAnsi="Arial" w:cs="Arial"/>
          <w:b/>
          <w:lang w:val="en-GB"/>
        </w:rPr>
      </w:pPr>
      <w:r>
        <w:rPr>
          <w:rFonts w:hint="eastAsia" w:ascii="Arial" w:hAnsi="Arial" w:cs="Arial"/>
          <w:b/>
          <w:lang w:val="en-GB"/>
        </w:rPr>
        <w:t>13:00-14:30 过程控制、测量设备、校准、产品检测及可追溯性等未决问题的澄清。</w:t>
      </w:r>
    </w:p>
    <w:p w14:paraId="3A6DD3D4">
      <w:pPr>
        <w:rPr>
          <w:rFonts w:ascii="Arial" w:hAnsi="Arial" w:cs="Arial"/>
          <w:b/>
          <w:lang w:val="en-GB"/>
        </w:rPr>
      </w:pPr>
      <w:r>
        <w:rPr>
          <w:rFonts w:hint="eastAsia" w:ascii="Arial" w:hAnsi="Arial" w:cs="Arial"/>
          <w:b/>
          <w:lang w:val="en-GB"/>
        </w:rPr>
        <w:t>14:30-15:00 结束会议。</w:t>
      </w:r>
    </w:p>
    <w:p w14:paraId="35A5F1B5">
      <w:pPr>
        <w:rPr>
          <w:rFonts w:ascii="Arial" w:hAnsi="Arial" w:cs="Arial"/>
          <w:b/>
          <w:lang w:val="en-GB"/>
        </w:rPr>
      </w:pPr>
    </w:p>
    <w:p w14:paraId="6618E12A">
      <w:pPr>
        <w:numPr>
          <w:ilvl w:val="0"/>
          <w:numId w:val="1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Opening meeting</w:t>
      </w:r>
    </w:p>
    <w:p w14:paraId="1172CC63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开幕会议</w:t>
      </w:r>
    </w:p>
    <w:p w14:paraId="60EB1D81">
      <w:pPr>
        <w:spacing w:after="0"/>
        <w:ind w:firstLine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Details and audit schedule confirmation</w:t>
      </w:r>
    </w:p>
    <w:p w14:paraId="7C17B300">
      <w:pPr>
        <w:spacing w:line="240" w:lineRule="auto"/>
        <w:ind w:firstLine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细节和审计计划确认</w:t>
      </w:r>
    </w:p>
    <w:p w14:paraId="48EC5E14">
      <w:pPr>
        <w:numPr>
          <w:ilvl w:val="0"/>
          <w:numId w:val="1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Corrective actions from previous audits (if applicable) </w:t>
      </w:r>
    </w:p>
    <w:p w14:paraId="343AFA51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先前审核的纠正措施（如适用）</w:t>
      </w:r>
    </w:p>
    <w:p w14:paraId="5B1F1F64">
      <w:pPr>
        <w:numPr>
          <w:ilvl w:val="0"/>
          <w:numId w:val="1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General information</w:t>
      </w:r>
    </w:p>
    <w:p w14:paraId="7CAB8DA2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一般信息</w:t>
      </w:r>
    </w:p>
    <w:p w14:paraId="5561FE3E">
      <w:pPr>
        <w:numPr>
          <w:ilvl w:val="0"/>
          <w:numId w:val="1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Quality Management System</w:t>
      </w:r>
    </w:p>
    <w:p w14:paraId="55A1BDE1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质量管理体系</w:t>
      </w:r>
    </w:p>
    <w:p w14:paraId="000AF1D5">
      <w:pPr>
        <w:spacing w:after="0"/>
        <w:ind w:firstLine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Certificates (ISO 9001 etc.)</w:t>
      </w:r>
    </w:p>
    <w:p w14:paraId="38FE5361">
      <w:pPr>
        <w:spacing w:line="240" w:lineRule="auto"/>
        <w:ind w:firstLine="720"/>
        <w:rPr>
          <w:rFonts w:ascii="Arial" w:hAnsi="Arial" w:cs="Arial"/>
          <w:lang w:val="en-GB"/>
        </w:rPr>
      </w:pPr>
      <w:r>
        <w:rPr>
          <w:rFonts w:hint="eastAsia" w:ascii="等线" w:hAnsi="等线" w:eastAsia="等线" w:cs="Arial"/>
          <w:lang w:val="en-GB"/>
        </w:rPr>
        <w:t>证书（ISO 9001等）</w:t>
      </w:r>
    </w:p>
    <w:p w14:paraId="52226006">
      <w:pPr>
        <w:spacing w:after="0"/>
        <w:ind w:firstLine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Organisation, organisation chart</w:t>
      </w:r>
    </w:p>
    <w:p w14:paraId="0FD186A2">
      <w:pPr>
        <w:spacing w:line="240" w:lineRule="auto"/>
        <w:ind w:firstLine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组织，组织结构图</w:t>
      </w:r>
    </w:p>
    <w:p w14:paraId="71E97347">
      <w:pPr>
        <w:spacing w:after="0"/>
        <w:ind w:firstLine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Internal and external audit results and corrective actions</w:t>
      </w:r>
    </w:p>
    <w:p w14:paraId="7426B8E2">
      <w:pPr>
        <w:spacing w:line="240" w:lineRule="auto"/>
        <w:ind w:firstLine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内部和外部审核结果及纠正措施</w:t>
      </w:r>
    </w:p>
    <w:p w14:paraId="6BED3453">
      <w:pPr>
        <w:spacing w:after="0"/>
        <w:ind w:firstLine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Management review</w:t>
      </w:r>
    </w:p>
    <w:p w14:paraId="0C8FB39C">
      <w:pPr>
        <w:spacing w:line="240" w:lineRule="auto"/>
        <w:ind w:firstLine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管理评审</w:t>
      </w:r>
    </w:p>
    <w:p w14:paraId="14C4160A">
      <w:pPr>
        <w:spacing w:after="0"/>
        <w:ind w:firstLine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New employee training and training of personnel, competence matrix</w:t>
      </w:r>
    </w:p>
    <w:p w14:paraId="7FEA24BC">
      <w:pPr>
        <w:spacing w:line="240" w:lineRule="auto"/>
        <w:ind w:firstLine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新员工培训和人员培训，能力矩阵</w:t>
      </w:r>
    </w:p>
    <w:p w14:paraId="0FEDED0E">
      <w:pPr>
        <w:numPr>
          <w:ilvl w:val="0"/>
          <w:numId w:val="1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Design</w:t>
      </w:r>
    </w:p>
    <w:p w14:paraId="549041EC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设计</w:t>
      </w:r>
    </w:p>
    <w:p w14:paraId="1BCCEFD6">
      <w:pPr>
        <w:numPr>
          <w:ilvl w:val="0"/>
          <w:numId w:val="1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Data storage</w:t>
      </w:r>
    </w:p>
    <w:p w14:paraId="0EB26643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数据存储</w:t>
      </w:r>
    </w:p>
    <w:p w14:paraId="770DAC42">
      <w:pPr>
        <w:numPr>
          <w:ilvl w:val="0"/>
          <w:numId w:val="1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Assignment of responsibilities, FPC relevant staff</w:t>
      </w:r>
    </w:p>
    <w:p w14:paraId="2250C89A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等线" w:hAnsi="等线" w:eastAsia="等线" w:cs="Arial"/>
          <w:lang w:val="en-GB"/>
        </w:rPr>
        <w:t>职责分配，FPC相关人员</w:t>
      </w:r>
    </w:p>
    <w:p w14:paraId="55F6A2B5">
      <w:pPr>
        <w:numPr>
          <w:ilvl w:val="0"/>
          <w:numId w:val="1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Handling of complaints</w:t>
      </w:r>
    </w:p>
    <w:p w14:paraId="0AB49947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投诉处理</w:t>
      </w:r>
    </w:p>
    <w:p w14:paraId="536FEE22">
      <w:pPr>
        <w:numPr>
          <w:ilvl w:val="0"/>
          <w:numId w:val="1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Raw materials, materials and components</w:t>
      </w:r>
    </w:p>
    <w:p w14:paraId="3D3DDDDD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原材料、材料和部件</w:t>
      </w:r>
    </w:p>
    <w:p w14:paraId="46F0FDD6">
      <w:pPr>
        <w:spacing w:after="0"/>
        <w:ind w:left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Incoming goods inspection</w:t>
      </w:r>
    </w:p>
    <w:p w14:paraId="01A751C8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进货检验</w:t>
      </w:r>
    </w:p>
    <w:p w14:paraId="1AC2DD3E">
      <w:pPr>
        <w:spacing w:after="0"/>
        <w:ind w:left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Testing of incoming materials</w:t>
      </w:r>
    </w:p>
    <w:p w14:paraId="11BDF6AA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来料检验</w:t>
      </w:r>
    </w:p>
    <w:p w14:paraId="06792EB7">
      <w:pPr>
        <w:spacing w:after="0"/>
        <w:ind w:firstLine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Raw material certificates</w:t>
      </w:r>
    </w:p>
    <w:p w14:paraId="09754D0B">
      <w:pPr>
        <w:spacing w:line="240" w:lineRule="auto"/>
        <w:ind w:firstLine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原材料证书</w:t>
      </w:r>
    </w:p>
    <w:p w14:paraId="733D0045">
      <w:pPr>
        <w:spacing w:after="0"/>
        <w:ind w:firstLine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Raw material storage </w:t>
      </w:r>
    </w:p>
    <w:p w14:paraId="741945BB">
      <w:pPr>
        <w:spacing w:line="240" w:lineRule="auto"/>
        <w:ind w:firstLine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原料储存</w:t>
      </w:r>
    </w:p>
    <w:p w14:paraId="6F1D5BAE">
      <w:pPr>
        <w:ind w:left="720"/>
        <w:rPr>
          <w:rFonts w:ascii="Arial" w:hAnsi="Arial" w:cs="Arial"/>
          <w:lang w:val="en-GB"/>
        </w:rPr>
      </w:pPr>
    </w:p>
    <w:p w14:paraId="0D6425C5">
      <w:pPr>
        <w:numPr>
          <w:ilvl w:val="0"/>
          <w:numId w:val="1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Production and production process control </w:t>
      </w:r>
    </w:p>
    <w:p w14:paraId="0895139E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生产和生产过程控制</w:t>
      </w:r>
    </w:p>
    <w:p w14:paraId="584FD86A">
      <w:pPr>
        <w:spacing w:after="0"/>
        <w:ind w:left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Description of production methods, processes and procedures</w:t>
      </w:r>
    </w:p>
    <w:p w14:paraId="5A1E5177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生产方法、工艺和程序的说明</w:t>
      </w:r>
    </w:p>
    <w:p w14:paraId="3616583E">
      <w:pPr>
        <w:spacing w:after="0"/>
        <w:ind w:firstLine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Process parameters</w:t>
      </w:r>
    </w:p>
    <w:p w14:paraId="7BD5EC6C">
      <w:pPr>
        <w:spacing w:line="240" w:lineRule="auto"/>
        <w:ind w:firstLine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工艺参数</w:t>
      </w:r>
    </w:p>
    <w:p w14:paraId="00D28444">
      <w:pPr>
        <w:spacing w:after="0"/>
        <w:ind w:firstLine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Work instructions</w:t>
      </w:r>
    </w:p>
    <w:p w14:paraId="58281D7E">
      <w:pPr>
        <w:spacing w:line="240" w:lineRule="auto"/>
        <w:ind w:firstLine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作业指导书</w:t>
      </w:r>
    </w:p>
    <w:p w14:paraId="12C7EC50">
      <w:pPr>
        <w:spacing w:after="0"/>
        <w:ind w:firstLine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Instructions for inspection of measuring/ test results</w:t>
      </w:r>
    </w:p>
    <w:p w14:paraId="4EEB99E7">
      <w:pPr>
        <w:spacing w:line="240" w:lineRule="auto"/>
        <w:ind w:firstLine="720"/>
        <w:rPr>
          <w:rFonts w:ascii="Arial" w:hAnsi="Arial" w:cs="Arial"/>
          <w:lang w:val="en-GB"/>
        </w:rPr>
      </w:pPr>
      <w:r>
        <w:rPr>
          <w:rFonts w:hint="eastAsia" w:ascii="等线" w:hAnsi="等线" w:eastAsia="等线" w:cs="Arial"/>
          <w:lang w:val="en-GB"/>
        </w:rPr>
        <w:t>测量/试验结果检查说明</w:t>
      </w:r>
    </w:p>
    <w:p w14:paraId="7112B3FE">
      <w:pPr>
        <w:spacing w:after="0"/>
        <w:ind w:firstLine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Measuring and test equipment</w:t>
      </w:r>
    </w:p>
    <w:p w14:paraId="16004DC2">
      <w:pPr>
        <w:spacing w:line="240" w:lineRule="auto"/>
        <w:ind w:firstLine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测量和测试设备</w:t>
      </w:r>
    </w:p>
    <w:p w14:paraId="36474863">
      <w:pPr>
        <w:spacing w:after="0"/>
        <w:ind w:firstLine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Maintenance of machinery</w:t>
      </w:r>
    </w:p>
    <w:p w14:paraId="1E63CBCE">
      <w:pPr>
        <w:spacing w:line="240" w:lineRule="auto"/>
        <w:ind w:firstLine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机械的维护</w:t>
      </w:r>
    </w:p>
    <w:p w14:paraId="75143C52">
      <w:pPr>
        <w:numPr>
          <w:ilvl w:val="0"/>
          <w:numId w:val="1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Testing of final products</w:t>
      </w:r>
    </w:p>
    <w:p w14:paraId="758E7367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最终产品的测试</w:t>
      </w:r>
    </w:p>
    <w:p w14:paraId="408A1DA2">
      <w:pPr>
        <w:spacing w:after="0"/>
        <w:ind w:firstLine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Test results</w:t>
      </w:r>
    </w:p>
    <w:p w14:paraId="74EE20E3">
      <w:pPr>
        <w:spacing w:line="240" w:lineRule="auto"/>
        <w:ind w:firstLine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测试结果</w:t>
      </w:r>
    </w:p>
    <w:p w14:paraId="706F7129">
      <w:pPr>
        <w:spacing w:after="0"/>
        <w:ind w:firstLine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Test laboratory</w:t>
      </w:r>
    </w:p>
    <w:p w14:paraId="7310BE5D">
      <w:pPr>
        <w:spacing w:line="240" w:lineRule="auto"/>
        <w:ind w:firstLine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测试实验室</w:t>
      </w:r>
    </w:p>
    <w:p w14:paraId="506E5B17">
      <w:pPr>
        <w:spacing w:after="0"/>
        <w:ind w:firstLine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Test equipment</w:t>
      </w:r>
    </w:p>
    <w:p w14:paraId="6463F3BD">
      <w:pPr>
        <w:spacing w:line="240" w:lineRule="auto"/>
        <w:ind w:firstLine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测试设备</w:t>
      </w:r>
    </w:p>
    <w:p w14:paraId="318F457E">
      <w:pPr>
        <w:numPr>
          <w:ilvl w:val="0"/>
          <w:numId w:val="1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Test equipment and calibration</w:t>
      </w:r>
    </w:p>
    <w:p w14:paraId="698A8089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测试设备和校准</w:t>
      </w:r>
    </w:p>
    <w:p w14:paraId="691805E3">
      <w:pPr>
        <w:numPr>
          <w:ilvl w:val="0"/>
          <w:numId w:val="1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Traceability</w:t>
      </w:r>
    </w:p>
    <w:p w14:paraId="593AEB28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可追溯性</w:t>
      </w:r>
    </w:p>
    <w:p w14:paraId="2152C5D7">
      <w:pPr>
        <w:numPr>
          <w:ilvl w:val="0"/>
          <w:numId w:val="1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Handling of non-conforming products</w:t>
      </w:r>
    </w:p>
    <w:p w14:paraId="0171F0AC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不合格品的处理</w:t>
      </w:r>
    </w:p>
    <w:p w14:paraId="3A52EF45">
      <w:pPr>
        <w:numPr>
          <w:ilvl w:val="0"/>
          <w:numId w:val="1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Sampling (if necessary)</w:t>
      </w:r>
    </w:p>
    <w:p w14:paraId="41037457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取样（如有必要）</w:t>
      </w:r>
    </w:p>
    <w:p w14:paraId="117CF9E2">
      <w:pPr>
        <w:numPr>
          <w:ilvl w:val="0"/>
          <w:numId w:val="1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 xml:space="preserve">Closing meeting </w:t>
      </w:r>
    </w:p>
    <w:p w14:paraId="3C9302F3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闭幕会</w:t>
      </w:r>
    </w:p>
    <w:p w14:paraId="29AA9955">
      <w:pPr>
        <w:spacing w:after="0"/>
        <w:ind w:left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Audit result</w:t>
      </w:r>
    </w:p>
    <w:p w14:paraId="149A9026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审计结果</w:t>
      </w:r>
    </w:p>
    <w:p w14:paraId="2252E6F6">
      <w:pPr>
        <w:spacing w:after="0"/>
        <w:ind w:left="72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Follow-Ups</w:t>
      </w:r>
    </w:p>
    <w:p w14:paraId="5524E72E">
      <w:pPr>
        <w:spacing w:line="240" w:lineRule="auto"/>
        <w:ind w:left="720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跟进</w:t>
      </w:r>
    </w:p>
    <w:p w14:paraId="79FC1892">
      <w:pPr>
        <w:rPr>
          <w:rFonts w:ascii="Arial" w:hAnsi="Arial" w:cs="Arial"/>
          <w:b/>
          <w:lang w:val="en-GB"/>
        </w:rPr>
      </w:pPr>
    </w:p>
    <w:p w14:paraId="17F0A4BD">
      <w:pPr>
        <w:rPr>
          <w:lang w:val="en-GB"/>
        </w:rPr>
      </w:pPr>
    </w:p>
    <w:p w14:paraId="05ECA681">
      <w:pPr>
        <w:rPr>
          <w:lang w:val="en-GB"/>
        </w:rPr>
      </w:pPr>
      <w:r>
        <w:rPr>
          <w:lang w:val="en-GB"/>
        </w:rPr>
        <w:br w:type="page"/>
      </w:r>
    </w:p>
    <w:p w14:paraId="62EB608B">
      <w:pPr>
        <w:spacing w:after="0"/>
        <w:rPr>
          <w:rFonts w:ascii="Arial" w:hAnsi="Arial" w:cs="Arial"/>
          <w:bCs/>
          <w:sz w:val="36"/>
          <w:szCs w:val="36"/>
          <w:lang w:val="en-GB"/>
        </w:rPr>
      </w:pPr>
      <w:r>
        <w:rPr>
          <w:rFonts w:ascii="Arial" w:hAnsi="Arial" w:cs="Arial"/>
          <w:bCs/>
          <w:sz w:val="36"/>
          <w:szCs w:val="36"/>
          <w:lang w:val="en-GB"/>
        </w:rPr>
        <w:t xml:space="preserve">Documents to be checked </w:t>
      </w:r>
    </w:p>
    <w:p w14:paraId="62BC4D0C">
      <w:pPr>
        <w:spacing w:line="240" w:lineRule="auto"/>
        <w:rPr>
          <w:rFonts w:ascii="Arial" w:hAnsi="Arial" w:cs="Arial"/>
          <w:bCs/>
          <w:sz w:val="36"/>
          <w:szCs w:val="36"/>
          <w:lang w:val="en-GB"/>
        </w:rPr>
      </w:pPr>
      <w:r>
        <w:rPr>
          <w:rFonts w:hint="eastAsia" w:ascii="Arial" w:hAnsi="Arial" w:eastAsia="等线" w:cs="Arial"/>
          <w:bCs/>
          <w:sz w:val="36"/>
          <w:szCs w:val="36"/>
          <w:lang w:val="en-GB"/>
        </w:rPr>
        <w:t>待查文件</w:t>
      </w:r>
    </w:p>
    <w:p w14:paraId="6CE4A950">
      <w:pPr>
        <w:rPr>
          <w:rFonts w:ascii="Arial" w:hAnsi="Arial" w:cs="Arial"/>
          <w:highlight w:val="yellow"/>
          <w:lang w:val="en-GB"/>
        </w:rPr>
      </w:pPr>
      <w:r>
        <w:rPr>
          <w:rFonts w:hint="eastAsia" w:ascii="Segoe UI" w:hAnsi="Segoe UI" w:eastAsia="Segoe UI" w:cs="Segoe UI"/>
          <w:i w:val="0"/>
          <w:iCs w:val="0"/>
          <w:caps w:val="0"/>
          <w:color w:val="2A2B2E"/>
          <w:spacing w:val="0"/>
          <w:sz w:val="21"/>
          <w:szCs w:val="21"/>
          <w:highlight w:val="yellow"/>
          <w:shd w:val="clear" w:fill="FFFFFF"/>
        </w:rPr>
        <w:t>审核员将分析原始文件。所有文件必须在审核当天在现场准备好/可用。审核员将不接受开会4小时后提供的文件。</w:t>
      </w:r>
    </w:p>
    <w:p w14:paraId="0ECF2BC1">
      <w:pPr>
        <w:numPr>
          <w:ilvl w:val="0"/>
          <w:numId w:val="2"/>
        </w:numPr>
        <w:spacing w:after="0"/>
        <w:rPr>
          <w:rFonts w:ascii="Arial" w:hAnsi="Arial" w:cs="Arial"/>
          <w:lang w:val="fr-FR"/>
        </w:rPr>
      </w:pPr>
      <w:r>
        <w:rPr>
          <w:rFonts w:ascii="Arial" w:hAnsi="Arial" w:cs="Arial"/>
          <w:lang w:val="fr-FR"/>
        </w:rPr>
        <w:t>Quality management system certification (ISO 9001, etc.)</w:t>
      </w:r>
    </w:p>
    <w:p w14:paraId="1B4047BE">
      <w:pPr>
        <w:numPr>
          <w:ilvl w:val="0"/>
          <w:numId w:val="2"/>
        </w:numPr>
        <w:spacing w:line="240" w:lineRule="auto"/>
        <w:rPr>
          <w:rFonts w:ascii="Arial" w:hAnsi="Arial" w:cs="Arial"/>
          <w:lang w:val="fr-FR"/>
        </w:rPr>
      </w:pPr>
      <w:r>
        <w:rPr>
          <w:rFonts w:hint="eastAsia" w:ascii="等线" w:hAnsi="等线" w:eastAsia="等线" w:cs="Arial"/>
          <w:lang w:val="fr-FR"/>
        </w:rPr>
        <w:t>质量管理体系认证（ISO9001等）</w:t>
      </w:r>
    </w:p>
    <w:p w14:paraId="6BAA5C1B">
      <w:pPr>
        <w:numPr>
          <w:ilvl w:val="0"/>
          <w:numId w:val="2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Quality manual or FPC manual</w:t>
      </w:r>
    </w:p>
    <w:p w14:paraId="0C0D0A3C">
      <w:pPr>
        <w:numPr>
          <w:ilvl w:val="0"/>
          <w:numId w:val="2"/>
        </w:numPr>
        <w:spacing w:line="240" w:lineRule="auto"/>
        <w:rPr>
          <w:rFonts w:ascii="Arial" w:hAnsi="Arial" w:cs="Arial"/>
          <w:lang w:val="en-GB"/>
        </w:rPr>
      </w:pPr>
      <w:r>
        <w:rPr>
          <w:rFonts w:hint="eastAsia" w:ascii="等线" w:hAnsi="等线" w:eastAsia="等线" w:cs="Arial"/>
          <w:lang w:val="en-GB"/>
        </w:rPr>
        <w:t>质量手册或FPC手册</w:t>
      </w:r>
    </w:p>
    <w:p w14:paraId="0C3BE76B">
      <w:pPr>
        <w:numPr>
          <w:ilvl w:val="0"/>
          <w:numId w:val="2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Internal audit reports and corrective actions</w:t>
      </w:r>
    </w:p>
    <w:p w14:paraId="6B4E5AD7">
      <w:pPr>
        <w:numPr>
          <w:ilvl w:val="0"/>
          <w:numId w:val="2"/>
        </w:numPr>
        <w:spacing w:line="240" w:lineRule="auto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内部审核报告和纠正措施</w:t>
      </w:r>
    </w:p>
    <w:p w14:paraId="224E419F">
      <w:pPr>
        <w:numPr>
          <w:ilvl w:val="0"/>
          <w:numId w:val="2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Management review reports and results</w:t>
      </w:r>
    </w:p>
    <w:p w14:paraId="37FFC90A">
      <w:pPr>
        <w:numPr>
          <w:ilvl w:val="0"/>
          <w:numId w:val="2"/>
        </w:numPr>
        <w:spacing w:line="240" w:lineRule="auto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管理评审报告及结果</w:t>
      </w:r>
    </w:p>
    <w:p w14:paraId="7BDEFA8C">
      <w:pPr>
        <w:numPr>
          <w:ilvl w:val="0"/>
          <w:numId w:val="2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Quality matrix of the personnel</w:t>
      </w:r>
    </w:p>
    <w:p w14:paraId="6AD063DD">
      <w:pPr>
        <w:numPr>
          <w:ilvl w:val="0"/>
          <w:numId w:val="2"/>
        </w:numPr>
        <w:spacing w:line="240" w:lineRule="auto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人员素质矩阵</w:t>
      </w:r>
    </w:p>
    <w:p w14:paraId="0C03B514">
      <w:pPr>
        <w:numPr>
          <w:ilvl w:val="0"/>
          <w:numId w:val="2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Raw material certificates</w:t>
      </w:r>
    </w:p>
    <w:p w14:paraId="57941051">
      <w:pPr>
        <w:numPr>
          <w:ilvl w:val="0"/>
          <w:numId w:val="2"/>
        </w:numPr>
        <w:spacing w:line="240" w:lineRule="auto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原材料证书</w:t>
      </w:r>
    </w:p>
    <w:p w14:paraId="629147F0">
      <w:pPr>
        <w:numPr>
          <w:ilvl w:val="0"/>
          <w:numId w:val="2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Inspection plans</w:t>
      </w:r>
    </w:p>
    <w:p w14:paraId="64C870F0">
      <w:pPr>
        <w:numPr>
          <w:ilvl w:val="0"/>
          <w:numId w:val="2"/>
        </w:numPr>
        <w:spacing w:line="240" w:lineRule="auto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检查计划</w:t>
      </w:r>
    </w:p>
    <w:p w14:paraId="770FDE97">
      <w:pPr>
        <w:numPr>
          <w:ilvl w:val="0"/>
          <w:numId w:val="2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Work instructions</w:t>
      </w:r>
    </w:p>
    <w:p w14:paraId="6642D727">
      <w:pPr>
        <w:numPr>
          <w:ilvl w:val="0"/>
          <w:numId w:val="2"/>
        </w:numPr>
        <w:spacing w:line="240" w:lineRule="auto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作业指导书</w:t>
      </w:r>
    </w:p>
    <w:p w14:paraId="527A7F6D">
      <w:pPr>
        <w:numPr>
          <w:ilvl w:val="0"/>
          <w:numId w:val="2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Maintenance schedule or plan of machinery used for production</w:t>
      </w:r>
    </w:p>
    <w:p w14:paraId="2D44EA4E">
      <w:pPr>
        <w:numPr>
          <w:ilvl w:val="0"/>
          <w:numId w:val="2"/>
        </w:numPr>
        <w:spacing w:line="240" w:lineRule="auto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用于生产的机械的维护时间表或计划</w:t>
      </w:r>
    </w:p>
    <w:p w14:paraId="60642307">
      <w:pPr>
        <w:numPr>
          <w:ilvl w:val="0"/>
          <w:numId w:val="2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Calibration records / certificates of test equipment</w:t>
      </w:r>
    </w:p>
    <w:p w14:paraId="47DD84D5">
      <w:pPr>
        <w:numPr>
          <w:ilvl w:val="0"/>
          <w:numId w:val="2"/>
        </w:numPr>
        <w:spacing w:line="240" w:lineRule="auto"/>
        <w:rPr>
          <w:rFonts w:ascii="Arial" w:hAnsi="Arial" w:cs="Arial"/>
          <w:lang w:val="en-GB"/>
        </w:rPr>
      </w:pPr>
      <w:r>
        <w:rPr>
          <w:rFonts w:hint="eastAsia" w:ascii="等线" w:hAnsi="等线" w:eastAsia="等线" w:cs="Arial"/>
          <w:lang w:val="en-GB"/>
        </w:rPr>
        <w:t>测试设备校准记录/证书</w:t>
      </w:r>
    </w:p>
    <w:p w14:paraId="13B100F5">
      <w:pPr>
        <w:numPr>
          <w:ilvl w:val="0"/>
          <w:numId w:val="2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Test instructions</w:t>
      </w:r>
    </w:p>
    <w:p w14:paraId="183DB8B2">
      <w:pPr>
        <w:numPr>
          <w:ilvl w:val="0"/>
          <w:numId w:val="2"/>
        </w:numPr>
        <w:spacing w:line="240" w:lineRule="auto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测试说明</w:t>
      </w:r>
    </w:p>
    <w:p w14:paraId="3226A178">
      <w:pPr>
        <w:numPr>
          <w:ilvl w:val="0"/>
          <w:numId w:val="2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Instructions of handling non-conforming products</w:t>
      </w:r>
    </w:p>
    <w:p w14:paraId="12E34BED">
      <w:pPr>
        <w:numPr>
          <w:ilvl w:val="0"/>
          <w:numId w:val="2"/>
        </w:numPr>
        <w:spacing w:line="240" w:lineRule="auto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不合格品处理说明</w:t>
      </w:r>
    </w:p>
    <w:p w14:paraId="46777ED7">
      <w:pPr>
        <w:numPr>
          <w:ilvl w:val="0"/>
          <w:numId w:val="2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Instructions for traceability practise</w:t>
      </w:r>
    </w:p>
    <w:p w14:paraId="34E46C9C">
      <w:pPr>
        <w:numPr>
          <w:ilvl w:val="0"/>
          <w:numId w:val="2"/>
        </w:numPr>
        <w:spacing w:line="240" w:lineRule="auto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可追溯性实践说明</w:t>
      </w:r>
    </w:p>
    <w:p w14:paraId="73AA03F8">
      <w:pPr>
        <w:numPr>
          <w:ilvl w:val="0"/>
          <w:numId w:val="2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Instruction for handling complaints</w:t>
      </w:r>
    </w:p>
    <w:p w14:paraId="3A276846">
      <w:pPr>
        <w:numPr>
          <w:ilvl w:val="0"/>
          <w:numId w:val="2"/>
        </w:numPr>
        <w:spacing w:line="240" w:lineRule="auto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投诉处理须知</w:t>
      </w:r>
    </w:p>
    <w:p w14:paraId="27244823">
      <w:pPr>
        <w:numPr>
          <w:ilvl w:val="0"/>
          <w:numId w:val="2"/>
        </w:numPr>
        <w:spacing w:after="0"/>
        <w:rPr>
          <w:rFonts w:ascii="Arial" w:hAnsi="Arial" w:cs="Arial"/>
          <w:lang w:val="en-GB"/>
        </w:rPr>
      </w:pPr>
      <w:r>
        <w:rPr>
          <w:rFonts w:ascii="Arial" w:hAnsi="Arial" w:cs="Arial"/>
          <w:lang w:val="en-GB"/>
        </w:rPr>
        <w:t>Additional documents, if applicable</w:t>
      </w:r>
    </w:p>
    <w:p w14:paraId="511674D9">
      <w:pPr>
        <w:numPr>
          <w:ilvl w:val="0"/>
          <w:numId w:val="2"/>
        </w:numPr>
        <w:spacing w:line="240" w:lineRule="auto"/>
        <w:rPr>
          <w:rFonts w:ascii="Arial" w:hAnsi="Arial" w:cs="Arial"/>
          <w:lang w:val="en-GB"/>
        </w:rPr>
      </w:pPr>
      <w:r>
        <w:rPr>
          <w:rFonts w:hint="eastAsia" w:ascii="Arial" w:hAnsi="Arial" w:eastAsia="等线" w:cs="Arial"/>
          <w:lang w:val="en-GB"/>
        </w:rPr>
        <w:t>附加文件（如适用）</w:t>
      </w:r>
    </w:p>
    <w:p w14:paraId="14D829D6">
      <w:pPr>
        <w:rPr>
          <w:i/>
          <w:lang w:val="en-GB"/>
        </w:rPr>
      </w:pPr>
    </w:p>
    <w:sectPr>
      <w:headerReference r:id="rId7" w:type="first"/>
      <w:footerReference r:id="rId10" w:type="first"/>
      <w:headerReference r:id="rId5" w:type="default"/>
      <w:footerReference r:id="rId8" w:type="default"/>
      <w:headerReference r:id="rId6" w:type="even"/>
      <w:footerReference r:id="rId9" w:type="even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Aptos">
    <w:altName w:val="Arial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ptos Display">
    <w:altName w:val="Segoe UI Variable Display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egoe UI Variable Display">
    <w:panose1 w:val="00000000000000000000"/>
    <w:charset w:val="00"/>
    <w:family w:val="auto"/>
    <w:pitch w:val="default"/>
    <w:sig w:usb0="A00002FF" w:usb1="0000000B" w:usb2="00000000" w:usb3="00000000" w:csb0="2000019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44916698"/>
      <w:docPartObj>
        <w:docPartGallery w:val="AutoText"/>
      </w:docPartObj>
    </w:sdtPr>
    <w:sdtContent>
      <w:sdt>
        <w:sdtPr>
          <w:id w:val="-1769616900"/>
          <w:docPartObj>
            <w:docPartGallery w:val="AutoText"/>
          </w:docPartObj>
        </w:sdtPr>
        <w:sdtContent>
          <w:p w14:paraId="6614A41D">
            <w:pPr>
              <w:pStyle w:val="12"/>
              <w:ind w:right="-784"/>
              <w:rPr>
                <w:sz w:val="16"/>
                <w:szCs w:val="16"/>
                <w:lang w:val="fr-FR"/>
              </w:rPr>
            </w:pPr>
            <w:r>
              <w:rPr>
                <w:rFonts w:ascii="Arial" w:hAnsi="Arial" w:cs="Arial"/>
                <w:color w:val="808080" w:themeColor="background1" w:themeShade="80"/>
                <w:sz w:val="16"/>
                <w:szCs w:val="16"/>
                <w:lang w:val="fr-FR"/>
              </w:rPr>
              <w:t>Eurofins_DWIP_Audit agenda_UBA_V1</w:t>
            </w:r>
          </w:p>
          <w:p w14:paraId="548B2EFB">
            <w:pPr>
              <w:pStyle w:val="12"/>
              <w:ind w:right="-784"/>
              <w:rPr>
                <w:rFonts w:ascii="Arial" w:hAnsi="Arial" w:cs="Arial"/>
                <w:b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  <w:t>Eu</w:t>
            </w:r>
            <w:r>
              <w:rPr>
                <w:rFonts w:ascii="Arial" w:hAnsi="Arial" w:cs="Arial"/>
                <w:b/>
                <w:color w:val="808080" w:themeColor="background1" w:themeShade="80"/>
                <w:sz w:val="16"/>
                <w:szCs w:val="16"/>
              </w:rPr>
              <w:t>rofins Product Testing A/S</w:t>
            </w:r>
          </w:p>
          <w:p w14:paraId="1311D117">
            <w:pPr>
              <w:pStyle w:val="12"/>
              <w:ind w:right="-784"/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  <w:t>Smedeskovvej 38, Gate 9</w:t>
            </w:r>
          </w:p>
          <w:p w14:paraId="2B49B669">
            <w:pPr>
              <w:pStyle w:val="12"/>
              <w:ind w:right="-784"/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  <w:t>8464 Galten, Denmark</w:t>
            </w:r>
          </w:p>
          <w:p w14:paraId="02BBD02B">
            <w:pPr>
              <w:pStyle w:val="12"/>
              <w:ind w:right="-784"/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  <w:t>Phone: +45 7022 4276</w:t>
            </w:r>
          </w:p>
          <w:p w14:paraId="1E826878">
            <w:pPr>
              <w:pStyle w:val="12"/>
              <w:ind w:right="-784"/>
            </w:pPr>
            <w:r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  <w:t xml:space="preserve">Email: </w:t>
            </w:r>
            <w:r>
              <w:fldChar w:fldCharType="begin"/>
            </w:r>
            <w:r>
              <w:instrText xml:space="preserve"> HYPERLINK "mailto:DWIP-Certification@cpt.eurofinseu.com" </w:instrText>
            </w:r>
            <w:r>
              <w:fldChar w:fldCharType="separate"/>
            </w:r>
            <w:r>
              <w:rPr>
                <w:rStyle w:val="17"/>
                <w:rFonts w:ascii="Arial" w:hAnsi="Arial" w:cs="Arial"/>
                <w:sz w:val="16"/>
                <w:szCs w:val="16"/>
              </w:rPr>
              <w:t>DWIP-Certification@cpt.eurofinseu.com</w:t>
            </w:r>
            <w:r>
              <w:rPr>
                <w:rStyle w:val="17"/>
                <w:rFonts w:ascii="Arial" w:hAnsi="Arial" w:cs="Arial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  <w:tab/>
            </w:r>
            <w:r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  <w:tab/>
            </w:r>
            <w:r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  <w:t xml:space="preserve">Page </w:t>
            </w:r>
            <w:r>
              <w:rPr>
                <w:rFonts w:ascii="Arial" w:hAnsi="Arial" w:cs="Arial"/>
                <w:b/>
                <w:bCs/>
                <w:color w:val="808080" w:themeColor="background1" w:themeShade="8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b/>
                <w:bCs/>
                <w:color w:val="808080" w:themeColor="background1" w:themeShade="80"/>
                <w:sz w:val="16"/>
                <w:szCs w:val="16"/>
              </w:rPr>
              <w:instrText xml:space="preserve"> PAGE </w:instrText>
            </w:r>
            <w:r>
              <w:rPr>
                <w:rFonts w:ascii="Arial" w:hAnsi="Arial" w:cs="Arial"/>
                <w:b/>
                <w:bCs/>
                <w:color w:val="808080" w:themeColor="background1" w:themeShade="8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bCs/>
                <w:color w:val="808080" w:themeColor="background1" w:themeShade="80"/>
                <w:sz w:val="16"/>
                <w:szCs w:val="16"/>
              </w:rPr>
              <w:t>1</w:t>
            </w:r>
            <w:r>
              <w:rPr>
                <w:rFonts w:ascii="Arial" w:hAnsi="Arial" w:cs="Arial"/>
                <w:b/>
                <w:bCs/>
                <w:color w:val="808080" w:themeColor="background1" w:themeShade="80"/>
                <w:sz w:val="16"/>
                <w:szCs w:val="16"/>
              </w:rPr>
              <w:fldChar w:fldCharType="end"/>
            </w:r>
            <w:r>
              <w:rPr>
                <w:rFonts w:ascii="Arial" w:hAnsi="Arial" w:cs="Arial"/>
                <w:color w:val="808080" w:themeColor="background1" w:themeShade="80"/>
                <w:sz w:val="16"/>
                <w:szCs w:val="16"/>
              </w:rPr>
              <w:t xml:space="preserve"> of </w:t>
            </w:r>
            <w:r>
              <w:rPr>
                <w:rFonts w:ascii="Arial" w:hAnsi="Arial" w:cs="Arial"/>
                <w:b/>
                <w:bCs/>
                <w:color w:val="808080" w:themeColor="background1" w:themeShade="80"/>
                <w:sz w:val="16"/>
                <w:szCs w:val="16"/>
              </w:rPr>
              <w:fldChar w:fldCharType="begin"/>
            </w:r>
            <w:r>
              <w:rPr>
                <w:rFonts w:ascii="Arial" w:hAnsi="Arial" w:cs="Arial"/>
                <w:b/>
                <w:bCs/>
                <w:color w:val="808080" w:themeColor="background1" w:themeShade="80"/>
                <w:sz w:val="16"/>
                <w:szCs w:val="16"/>
              </w:rPr>
              <w:instrText xml:space="preserve"> NUMPAGES  </w:instrText>
            </w:r>
            <w:r>
              <w:rPr>
                <w:rFonts w:ascii="Arial" w:hAnsi="Arial" w:cs="Arial"/>
                <w:b/>
                <w:bCs/>
                <w:color w:val="808080" w:themeColor="background1" w:themeShade="80"/>
                <w:sz w:val="16"/>
                <w:szCs w:val="16"/>
              </w:rPr>
              <w:fldChar w:fldCharType="separate"/>
            </w:r>
            <w:r>
              <w:rPr>
                <w:rFonts w:ascii="Arial" w:hAnsi="Arial" w:cs="Arial"/>
                <w:b/>
                <w:bCs/>
                <w:color w:val="808080" w:themeColor="background1" w:themeShade="80"/>
                <w:sz w:val="16"/>
                <w:szCs w:val="16"/>
              </w:rPr>
              <w:t>1</w:t>
            </w:r>
            <w:r>
              <w:rPr>
                <w:rFonts w:ascii="Arial" w:hAnsi="Arial" w:cs="Arial"/>
                <w:b/>
                <w:bCs/>
                <w:color w:val="808080" w:themeColor="background1" w:themeShade="80"/>
                <w:sz w:val="16"/>
                <w:szCs w:val="16"/>
              </w:rPr>
              <w:fldChar w:fldCharType="end"/>
            </w:r>
          </w:p>
        </w:sdtContent>
      </w:sdt>
    </w:sdtContent>
  </w:sdt>
  <w:p w14:paraId="6D3D75E7">
    <w:pPr>
      <w:pStyle w:val="12"/>
      <w:ind w:right="-784" w:rightChars="0"/>
    </w:pPr>
    <w:r>
      <w:rPr>
        <w:rFonts w:ascii="等线" w:hAnsi="等线" w:eastAsia="等线"/>
        <w:color w:val="808080" w:themeColor="background1" w:themeShade="80"/>
        <w:sz w:val="16"/>
        <w:szCs w:val="16"/>
      </w:rPr>
      <w:tab/>
    </w:r>
    <w:r>
      <w:rPr>
        <w:rFonts w:ascii="等线" w:hAnsi="等线" w:eastAsia="等线"/>
        <w:color w:val="808080" w:themeColor="background1" w:themeShade="80"/>
        <w:sz w:val="16"/>
        <w:szCs w:val="16"/>
      </w:rPr>
      <w:tab/>
    </w:r>
    <w:r>
      <w:rPr>
        <w:rFonts w:hint="eastAsia" w:ascii="等线" w:hAnsi="等线" w:eastAsia="等线"/>
        <w:color w:val="808080" w:themeColor="background1" w:themeShade="80"/>
        <w:sz w:val="16"/>
        <w:szCs w:val="16"/>
      </w:rPr>
      <w:t>页</w:t>
    </w:r>
    <w:r>
      <w:rPr>
        <w:rFonts w:ascii="等线" w:hAnsi="等线" w:eastAsia="等线"/>
        <w:color w:val="808080" w:themeColor="background1" w:themeShade="80"/>
        <w:sz w:val="16"/>
        <w:szCs w:val="16"/>
      </w:rPr>
      <w:t xml:space="preserve"> 3 </w:t>
    </w:r>
    <w:r>
      <w:rPr>
        <w:rFonts w:hint="eastAsia" w:ascii="等线" w:hAnsi="等线" w:eastAsia="等线"/>
        <w:color w:val="808080" w:themeColor="background1" w:themeShade="80"/>
        <w:sz w:val="16"/>
        <w:szCs w:val="16"/>
      </w:rPr>
      <w:t>的</w:t>
    </w:r>
    <w:r>
      <w:rPr>
        <w:rFonts w:ascii="等线" w:hAnsi="等线" w:eastAsia="等线"/>
        <w:color w:val="808080" w:themeColor="background1" w:themeShade="80"/>
        <w:sz w:val="16"/>
        <w:szCs w:val="16"/>
      </w:rPr>
      <w:t xml:space="preserve"> 3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C8D7815"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AE44F6F">
    <w:pPr>
      <w:pStyle w:val="11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4CC6A3E">
    <w:pPr>
      <w:pStyle w:val="12"/>
      <w:jc w:val="right"/>
      <w:rPr>
        <w:rFonts w:ascii="Arial" w:hAnsi="Arial" w:cs="Arial"/>
        <w:color w:val="808080" w:themeColor="background1" w:themeShade="80"/>
        <w:sz w:val="20"/>
        <w:szCs w:val="20"/>
        <w:lang w:val="de-DE"/>
      </w:rPr>
    </w:pPr>
    <w:r>
      <w:rPr>
        <w:rFonts w:ascii="Arial" w:hAnsi="Arial" w:cs="Arial"/>
        <w:b/>
        <w:color w:val="808080" w:themeColor="background1" w:themeShade="80"/>
        <w:sz w:val="20"/>
        <w:szCs w:val="20"/>
        <w:lang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-552450</wp:posOffset>
          </wp:positionH>
          <wp:positionV relativeFrom="paragraph">
            <wp:posOffset>-59055</wp:posOffset>
          </wp:positionV>
          <wp:extent cx="3590925" cy="755650"/>
          <wp:effectExtent l="0" t="0" r="9525" b="6350"/>
          <wp:wrapNone/>
          <wp:docPr id="1" name="Picture 1" descr="Ein Bild, das Text, Schrift, weiß, Screenshot enthält.&#10;&#10;KI-generierte Inhalte können fehlerhaft sein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Ein Bild, das Text, Schrift, weiß, Screenshot enthält.&#10;&#10;KI-generierte Inhalte können fehlerhaft sein.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20798"/>
                  <a:stretch>
                    <a:fillRect/>
                  </a:stretch>
                </pic:blipFill>
                <pic:spPr>
                  <a:xfrm>
                    <a:off x="0" y="0"/>
                    <a:ext cx="3590925" cy="755650"/>
                  </a:xfrm>
                  <a:prstGeom prst="rect">
                    <a:avLst/>
                  </a:prstGeom>
                  <a:ln>
                    <a:noFill/>
                  </a:ln>
                </pic:spPr>
              </pic:pic>
            </a:graphicData>
          </a:graphic>
        </wp:anchor>
      </w:drawing>
    </w:r>
  </w:p>
  <w:p w14:paraId="5245F1E1">
    <w:pPr>
      <w:pStyle w:val="12"/>
    </w:pPr>
  </w:p>
  <w:p w14:paraId="618BBA33">
    <w:pPr>
      <w:pStyle w:val="12"/>
    </w:pPr>
  </w:p>
  <w:p w14:paraId="05175BC3">
    <w:pPr>
      <w:pStyle w:val="12"/>
    </w:pPr>
  </w:p>
  <w:p w14:paraId="575987A5">
    <w:pPr>
      <w:pStyle w:val="12"/>
    </w:pPr>
  </w:p>
  <w:p w14:paraId="03FF5887">
    <w:pPr>
      <w:pStyle w:val="12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11E0EE5">
    <w:pPr>
      <w:pStyle w:val="12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29C3D7A">
    <w:pPr>
      <w:pStyle w:val="12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D67D9C"/>
    <w:multiLevelType w:val="multilevel"/>
    <w:tmpl w:val="1FD67D9C"/>
    <w:lvl w:ilvl="0" w:tentative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5EA35AE8"/>
    <w:multiLevelType w:val="multilevel"/>
    <w:tmpl w:val="5EA35AE8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5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1506"/>
    <w:rsid w:val="000A5972"/>
    <w:rsid w:val="0039591D"/>
    <w:rsid w:val="004374F1"/>
    <w:rsid w:val="006A788C"/>
    <w:rsid w:val="006B0A2A"/>
    <w:rsid w:val="006D5550"/>
    <w:rsid w:val="009E5C56"/>
    <w:rsid w:val="00A107CB"/>
    <w:rsid w:val="00AF5911"/>
    <w:rsid w:val="00BE1E7A"/>
    <w:rsid w:val="00C319B3"/>
    <w:rsid w:val="00C51506"/>
    <w:rsid w:val="00CB5C02"/>
    <w:rsid w:val="00CC53E5"/>
    <w:rsid w:val="00DD41B6"/>
    <w:rsid w:val="00E46CF4"/>
    <w:rsid w:val="3EFA03D1"/>
    <w:rsid w:val="57735385"/>
    <w:rsid w:val="5D66238C"/>
    <w:rsid w:val="67B16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20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4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6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2">
    <w:name w:val="header"/>
    <w:basedOn w:val="1"/>
    <w:link w:val="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3">
    <w:name w:val="Subtitle"/>
    <w:basedOn w:val="1"/>
    <w:next w:val="1"/>
    <w:link w:val="28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7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17">
    <w:name w:val="Hyperlink"/>
    <w:basedOn w:val="16"/>
    <w:unhideWhenUsed/>
    <w:uiPriority w:val="99"/>
    <w:rPr>
      <w:color w:val="467886" w:themeColor="hyperlink"/>
      <w:u w:val="single"/>
      <w14:textFill>
        <w14:solidFill>
          <w14:schemeClr w14:val="hlink"/>
        </w14:solidFill>
      </w14:textFill>
    </w:rPr>
  </w:style>
  <w:style w:type="character" w:customStyle="1" w:styleId="18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2 字符"/>
    <w:basedOn w:val="16"/>
    <w:link w:val="3"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3 字符"/>
    <w:basedOn w:val="16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1">
    <w:name w:val="标题 4 字符"/>
    <w:basedOn w:val="16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2">
    <w:name w:val="标题 5 字符"/>
    <w:basedOn w:val="16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3">
    <w:name w:val="标题 6 字符"/>
    <w:basedOn w:val="16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7 字符"/>
    <w:basedOn w:val="16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8 字符"/>
    <w:basedOn w:val="16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标题 9 字符"/>
    <w:basedOn w:val="16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7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8">
    <w:name w:val="副标题 字符"/>
    <w:basedOn w:val="16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9">
    <w:name w:val="Quote"/>
    <w:basedOn w:val="1"/>
    <w:next w:val="1"/>
    <w:link w:val="30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0">
    <w:name w:val="引用 字符"/>
    <w:basedOn w:val="16"/>
    <w:link w:val="29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1">
    <w:name w:val="List Paragraph"/>
    <w:basedOn w:val="1"/>
    <w:qFormat/>
    <w:uiPriority w:val="34"/>
    <w:pPr>
      <w:ind w:left="720"/>
      <w:contextualSpacing/>
    </w:pPr>
  </w:style>
  <w:style w:type="character" w:customStyle="1" w:styleId="32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3">
    <w:name w:val="Intense Quote"/>
    <w:basedOn w:val="1"/>
    <w:next w:val="1"/>
    <w:link w:val="34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4">
    <w:name w:val="明显引用 字符"/>
    <w:basedOn w:val="16"/>
    <w:link w:val="33"/>
    <w:qFormat/>
    <w:uiPriority w:val="30"/>
    <w:rPr>
      <w:i/>
      <w:iCs/>
      <w:color w:val="104862" w:themeColor="accent1" w:themeShade="BF"/>
    </w:rPr>
  </w:style>
  <w:style w:type="character" w:customStyle="1" w:styleId="35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6">
    <w:name w:val="页眉 字符"/>
    <w:basedOn w:val="16"/>
    <w:link w:val="12"/>
    <w:uiPriority w:val="99"/>
  </w:style>
  <w:style w:type="character" w:customStyle="1" w:styleId="37">
    <w:name w:val="页脚 字符"/>
    <w:basedOn w:val="16"/>
    <w:link w:val="11"/>
    <w:uiPriority w:val="99"/>
  </w:style>
  <w:style w:type="character" w:customStyle="1" w:styleId="38">
    <w:name w:val="Unresolved Mention"/>
    <w:basedOn w:val="16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2.xml"/><Relationship Id="rId8" Type="http://schemas.openxmlformats.org/officeDocument/2006/relationships/footer" Target="footer1.xml"/><Relationship Id="rId7" Type="http://schemas.openxmlformats.org/officeDocument/2006/relationships/header" Target="header3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theme" Target="theme/theme1.xml"/><Relationship Id="rId10" Type="http://schemas.openxmlformats.org/officeDocument/2006/relationships/footer" Target="footer3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rootClass>
  <codeData xmlns="urn:rootClass:codeData">5BF151B297EA2C5DFF1C05528BFA6DE87DD37E91F6097B92F75BF80A7C8285FA13341E5285C90D64FB50FA0C7187F92D6CEF59AC9FE72B6FA7A893998B9EC2045ABD74F422A4F81978EC58B89DEC2E6D93BA92E457AFD33E470F4C5FD1D5394E40034D83B63F80E278967DC3A8F91D7090A0BDCE4151B5DF23272177EA00070C02450F150769BFC3C66D98DC0F7ED60840FF19A74D51B2D6C88AB3F96CBDD32B5107384E33484C43BB9FBCD54F57A9D3CB60ED3233554BB1C79DB7C8ADC73D</codeData>
</rootClass>
</file>

<file path=customXml/itemProps1.xml><?xml version="1.0" encoding="utf-8"?>
<ds:datastoreItem xmlns:ds="http://schemas.openxmlformats.org/officeDocument/2006/customXml" ds:itemID="{156A3A37-D55D-4D0A-9A46-C0339481D416}">
  <ds:schemaRefs/>
</ds:datastoreItem>
</file>

<file path=customXml/itemProps2.xml><?xml version="1.0" encoding="utf-8"?>
<ds:datastoreItem xmlns:ds="http://schemas.openxmlformats.org/officeDocument/2006/customXml" ds:itemID="{3BE6F6BE-A2E0-44D8-9682-B0DFDEAE925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609</Words>
  <Characters>1939</Characters>
  <Lines>117</Lines>
  <Paragraphs>110</Paragraphs>
  <TotalTime>2</TotalTime>
  <ScaleCrop>false</ScaleCrop>
  <LinksUpToDate>false</LinksUpToDate>
  <CharactersWithSpaces>2112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2026-05-21T05:32:00Z</dcterms:created>
  <dc:creator>Andreas Kurz</dc:creator>
  <cp:lastModifiedBy>Amy-宁波迪恩认证</cp:lastModifiedBy>
  <dcterms:modified xsi:type="dcterms:W3CDTF">2026-05-21T05:38:02Z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01b52ec-d1d4-4eb8-9576-3341ccbdc2fa_Enabled">
    <vt:lpwstr>true</vt:lpwstr>
  </property>
  <property fmtid="{D5CDD505-2E9C-101B-9397-08002B2CF9AE}" pid="3" name="MSIP_Label_f01b52ec-d1d4-4eb8-9576-3341ccbdc2fa_SetDate">
    <vt:lpwstr>2026-03-09T08:57:40Z</vt:lpwstr>
  </property>
  <property fmtid="{D5CDD505-2E9C-101B-9397-08002B2CF9AE}" pid="4" name="MSIP_Label_f01b52ec-d1d4-4eb8-9576-3341ccbdc2fa_Method">
    <vt:lpwstr>Standard</vt:lpwstr>
  </property>
  <property fmtid="{D5CDD505-2E9C-101B-9397-08002B2CF9AE}" pid="5" name="MSIP_Label_f01b52ec-d1d4-4eb8-9576-3341ccbdc2fa_Name">
    <vt:lpwstr>Eurofins Internal</vt:lpwstr>
  </property>
  <property fmtid="{D5CDD505-2E9C-101B-9397-08002B2CF9AE}" pid="6" name="MSIP_Label_f01b52ec-d1d4-4eb8-9576-3341ccbdc2fa_SiteId">
    <vt:lpwstr>15ba1d82-19f1-4311-81f4-98b85ac7fd15</vt:lpwstr>
  </property>
  <property fmtid="{D5CDD505-2E9C-101B-9397-08002B2CF9AE}" pid="7" name="MSIP_Label_f01b52ec-d1d4-4eb8-9576-3341ccbdc2fa_ActionId">
    <vt:lpwstr>9247789e-7501-44e5-83dd-8d5068126eee</vt:lpwstr>
  </property>
  <property fmtid="{D5CDD505-2E9C-101B-9397-08002B2CF9AE}" pid="8" name="MSIP_Label_f01b52ec-d1d4-4eb8-9576-3341ccbdc2fa_ContentBits">
    <vt:lpwstr>0</vt:lpwstr>
  </property>
  <property fmtid="{D5CDD505-2E9C-101B-9397-08002B2CF9AE}" pid="9" name="MSIP_Label_f01b52ec-d1d4-4eb8-9576-3341ccbdc2fa_Tag">
    <vt:lpwstr>10, 3, 0, 1</vt:lpwstr>
  </property>
  <property fmtid="{D5CDD505-2E9C-101B-9397-08002B2CF9AE}" pid="10" name="KSOTemplateDocerSaveRecord">
    <vt:lpwstr>eyJoZGlkIjoiNzNlMDExMjg0MjJiODc4MDRkZmQwZjUxZjc5YzViM2EiLCJ1c2VySWQiOiIxMTQyNjM2NDExIn0=</vt:lpwstr>
  </property>
  <property fmtid="{D5CDD505-2E9C-101B-9397-08002B2CF9AE}" pid="11" name="KSOProductBuildVer">
    <vt:lpwstr>2052-12.1.0.26375</vt:lpwstr>
  </property>
  <property fmtid="{D5CDD505-2E9C-101B-9397-08002B2CF9AE}" pid="12" name="ICV">
    <vt:lpwstr>9F8168FEC69D4A2F8B2CE822C96E35FB_12</vt:lpwstr>
  </property>
</Properties>
</file>