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Segoe UI" w:hAnsi="Segoe UI"/>
          <w:b/>
          <w:color w:val="3730A3"/>
          <w:sz w:val="20"/>
        </w:rPr>
        <w:t>PLAN ESTRATÉGICO DE INGENIERÍA DE SOFTWARE &amp; ROADMAP TECNOLÓGICO</w:t>
      </w:r>
    </w:p>
    <w:p>
      <w:pPr>
        <w:spacing w:before="360"/>
        <w:jc w:val="center"/>
      </w:pPr>
      <w:r>
        <w:rPr>
          <w:rFonts w:ascii="Segoe UI" w:hAnsi="Segoe UI"/>
          <w:b/>
          <w:color w:val="0F172A"/>
          <w:sz w:val="42"/>
        </w:rPr>
        <w:t>SENTINELPRO ACCESS &amp; IAM</w:t>
        <w:br/>
        <w:t>PLAN MAESTRO DE EVOLUCIÓN TECNOLÓGICA Y RECOMENDACIONES DE ARQUITECTURA</w:t>
      </w:r>
    </w:p>
    <w:p>
      <w:pPr>
        <w:pBdr>
          <w:bottom w:val="single" w:sz="20" w:space="1" w:color="3730A3"/>
        </w:pBdr>
        <w:spacing w:before="40" w:after="160"/>
      </w:pPr>
    </w:p>
    <w:p>
      <w:pPr>
        <w:spacing w:before="120" w:after="400"/>
        <w:jc w:val="center"/>
      </w:pPr>
      <w:r>
        <w:rPr>
          <w:rFonts w:ascii="Segoe UI" w:hAnsi="Segoe UI"/>
          <w:color w:val="334155"/>
          <w:sz w:val="21"/>
        </w:rPr>
        <w:t>Diagnóstico de Arquitectura, Recomendaciones Técnicas Especializadas, Fortalecimiento de Seguridad Criptográfica, Migración a Base de Datos Relacional de Alto Desempeño, Integración de Hardware Físico en Portería (OSDP/RFID/LPR), Arquitectura Garita Offline-First, Microservicios/Eventos, DevOps, y Cronograma de Ejecución (30, 60, 90 y 180 Días).</w:t>
      </w:r>
    </w:p>
    <w:tbl>
      <w:tblPr>
        <w:tblW w:type="auto" w:w="0"/>
        <w:jc w:val="center"/>
        <w:tblLook w:firstColumn="1" w:firstRow="1" w:lastColumn="0" w:lastRow="0" w:noHBand="0" w:noVBand="1" w:val="04A0"/>
      </w:tblPr>
      <w:tblGrid>
        <w:gridCol w:w="4816"/>
        <w:gridCol w:w="4816"/>
      </w:tblGrid>
      <w:tr>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Parámetro</w:t>
            </w:r>
          </w:p>
        </w:tc>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Detalle del Documento</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Sistema Auditado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SentinelPro Access &amp; IAM (Versión 2.0 / Node.js Backend)</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Propósito</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Guía ejecutiva y técnica de optimizaciones, mejores prácticas y nuevas funcionalidades</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Áreas Clave</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Persistencia RDBMS, Criptografía IAM, IoT/Hardware Garita, UI/UX, CI/CD, Alta Disponibilidad</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Alcance</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Transición de prototipo/piloto a infraestructura industrial de misión crítica (High Concurrency)</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Estado de QA Actual</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15 de 15 pruebas automatizadas aprobadas (100% éxito)</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Autoría</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Dirección de Arquitectura y Seguridad de Software — SentinelPro</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Fecha de Publicación</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22 de October de 2026</w:t>
            </w:r>
          </w:p>
        </w:tc>
      </w:tr>
    </w:tbl>
    <w:p>
      <w:pPr>
        <w:spacing w:after="80"/>
      </w:pPr>
    </w:p>
    <w:p>
      <w:r>
        <w:br w:type="page"/>
      </w:r>
    </w:p>
    <w:p>
      <w:pPr>
        <w:pStyle w:val="Heading1"/>
        <w:spacing w:before="320" w:after="80"/>
      </w:pPr>
      <w:r>
        <w:rPr>
          <w:rFonts w:ascii="Segoe UI" w:hAnsi="Segoe UI"/>
          <w:b/>
          <w:color w:val="0F172A"/>
          <w:sz w:val="32"/>
        </w:rPr>
        <w:t>1. Diagnóstico del Estado Actual y Evaluación de Madurez</w:t>
      </w:r>
    </w:p>
    <w:p>
      <w:pPr>
        <w:pBdr>
          <w:bottom w:val="single" w:sz="14" w:space="1" w:color="3730A3"/>
        </w:pBdr>
        <w:spacing w:before="40" w:after="160"/>
      </w:pPr>
    </w:p>
    <w:p>
      <w:pPr>
        <w:spacing w:before="40" w:after="120" w:line="276" w:lineRule="auto"/>
      </w:pPr>
      <w:r>
        <w:rPr>
          <w:rFonts w:ascii="Segoe UI" w:hAnsi="Segoe UI"/>
          <w:color w:val="334155"/>
          <w:sz w:val="19"/>
        </w:rPr>
        <w:t>SentinelPro IAM ha alcanzado un hito clave de desarrollo: cuenta con un motor de autorización granular probado (RBAC + ALLOW/DENY), gestión de portería/garita con control de duplicidad de entradas, cálculo automático de jornadas y horas extras, control de aforo en tiempo real, gestión de visitantes con asignación de gafetes y trazabilidad completa de eventos en bitácoras de auditoría. Además, el backend opera de forma autocontenida utilizando librerías nativas de Node.js (node:http, node:crypto, node:fs), eliminando vulnerabilidades de dependencias infladas.</w:t>
      </w:r>
    </w:p>
    <w:tbl>
      <w:tblPr>
        <w:tblW w:type="auto" w:w="0"/>
        <w:jc w:val="center"/>
        <w:tblLook w:firstColumn="1" w:firstRow="1" w:lastColumn="0" w:lastRow="0" w:noHBand="0" w:noVBand="1" w:val="04A0"/>
      </w:tblPr>
      <w:tblGrid>
        <w:gridCol w:w="9632"/>
      </w:tblGrid>
      <w:tr>
        <w:tc>
          <w:tcPr>
            <w:tcW w:type="dxa" w:w="9632"/>
            <w:shd w:val="clear" w:color="auto" w:fill="F1F5F9"/>
            <w:tcBorders>
              <w:left w:val="single" w:sz="24" w:space="0" w:color="059669"/>
              <w:top w:val="none"/>
              <w:bottom w:val="none"/>
              <w:right w:val="none"/>
            </w:tcBorders>
            <w:tcMar>
              <w:top w:w="90" w:type="dxa"/>
              <w:bottom w:w="90" w:type="dxa"/>
              <w:left w:w="140" w:type="dxa"/>
              <w:right w:w="140" w:type="dxa"/>
            </w:tcMar>
          </w:tcPr>
          <w:p>
            <w:pPr>
              <w:spacing w:before="0" w:after="40"/>
            </w:pPr>
            <w:r>
              <w:rPr>
                <w:rFonts w:ascii="Segoe UI" w:hAnsi="Segoe UI"/>
                <w:b/>
                <w:color w:val="0F172A"/>
                <w:sz w:val="19"/>
              </w:rPr>
              <w:t>📌 Estado de Validación QA (Hito Alcanzado)</w:t>
              <w:br/>
            </w:r>
            <w:r>
              <w:rPr>
                <w:rFonts w:ascii="Segoe UI" w:hAnsi="Segoe UI"/>
                <w:color w:val="334155"/>
                <w:sz w:val="18"/>
              </w:rPr>
              <w:t>La suite de pruebas automatizadas (scripts/qa-test-suite.js) valida satisfactoriamente el 100% de los 15 casos de prueba críticos, incluyendo concurrencia de sesiones (HTTP 409 Conflict), tokens HMAC-SHA256, hash scrypt, bloqueo de credenciales suspendidas, reemplazo de sesión forzado e inmutabilidad de la auditoría.</w:t>
            </w:r>
          </w:p>
        </w:tc>
      </w:tr>
    </w:tbl>
    <w:p>
      <w:pPr>
        <w:spacing w:after="80"/>
      </w:pPr>
    </w:p>
    <w:p>
      <w:pPr>
        <w:pStyle w:val="Heading2"/>
        <w:spacing w:before="240" w:after="80"/>
      </w:pPr>
      <w:r>
        <w:rPr>
          <w:rFonts w:ascii="Segoe UI" w:hAnsi="Segoe UI"/>
          <w:b/>
          <w:color w:val="3730A3"/>
          <w:sz w:val="25"/>
        </w:rPr>
        <w:t>Matriz FODA Técnica del Proyecto</w:t>
      </w:r>
    </w:p>
    <w:tbl>
      <w:tblPr>
        <w:tblW w:type="auto" w:w="0"/>
        <w:jc w:val="center"/>
        <w:tblLook w:firstColumn="1" w:firstRow="1" w:lastColumn="0" w:lastRow="0" w:noHBand="0" w:noVBand="1" w:val="04A0"/>
      </w:tblPr>
      <w:tblGrid>
        <w:gridCol w:w="4816"/>
        <w:gridCol w:w="4816"/>
      </w:tblGrid>
      <w:tr>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Dimensión</w:t>
            </w:r>
          </w:p>
        </w:tc>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Hallazgos y Factores Técnicos</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Fortalezas (F)</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Cero dependencias externas en tiempo de ejecución (bajo riesgo de Supply Chain Attacks).</w:t>
              <w:br/>
              <w:t>• Algoritmos criptográficos robustos (scrypt con sal de 16 bytes y clave derivada de 64 bytes, HMAC-SHA256 con timingSafeEqual).</w:t>
              <w:br/>
              <w:t>• Modelo de autorización híbrido probado con precedencia estricta en el Backend.</w:t>
              <w:br/>
              <w:t>• Frontend liviano y responsivo sin overhead de compiladores complejos.</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Oportunidades (O)</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Integración directa con torniquetes y talanqueras físicas mediante protocolos industriales (OSDP / Wiegand).</w:t>
              <w:br/>
              <w:t>• Comercialización como solución SaaS multitenant para parques industriales y edificios corporativos.</w:t>
              <w:br/>
              <w:t>• Conexión con sistemas ERP de nómina (SAP, Workday, Siigo) mediante API REST y Webhooks.</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Debilidades (D)</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Persistencia actual basada en archivo plano JSON (database/db.json) con operaciones síncronas de I/O que pueden bloquear el Event Loop bajo alta concurrencia.</w:t>
              <w:br/>
              <w:t>• Sesiones y tokens gestionados sin rotación de Refresh Tokens en cookies HttpOnly.</w:t>
              <w:br/>
              <w:t>• Ausencia de autenticación multifactor (MFA/TOTP) para cuentas administrativas.</w:t>
              <w:br/>
              <w:t>• Falta de capacidad offline en garita ante interrupciones de red local.</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Amenazas (A)</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Congestión y demoras en garita peatonal durante cambios de turno masivos (500+ trabajadores en 15 minutos).</w:t>
              <w:br/>
              <w:t>• Ataques de fuerza bruta o suplantación física si las credenciales QR no son dinámicas.</w:t>
              <w:br/>
              <w:t>• Pérdida o corrupción de datos si el servidor se apaga abruptamente durante la escritura en db.json.</w:t>
            </w:r>
          </w:p>
        </w:tc>
      </w:tr>
    </w:tbl>
    <w:p>
      <w:pPr>
        <w:spacing w:after="80"/>
      </w:pPr>
    </w:p>
    <w:p>
      <w:pPr>
        <w:pStyle w:val="Heading1"/>
        <w:spacing w:before="320" w:after="80"/>
      </w:pPr>
      <w:r>
        <w:rPr>
          <w:rFonts w:ascii="Segoe UI" w:hAnsi="Segoe UI"/>
          <w:b/>
          <w:color w:val="0F172A"/>
          <w:sz w:val="32"/>
        </w:rPr>
        <w:t>2. Eje 1 — Modernización de la Persistencia de Datos</w:t>
      </w:r>
    </w:p>
    <w:p>
      <w:pPr>
        <w:pBdr>
          <w:bottom w:val="single" w:sz="14" w:space="1" w:color="3730A3"/>
        </w:pBdr>
        <w:spacing w:before="40" w:after="160"/>
      </w:pPr>
    </w:p>
    <w:p>
      <w:pPr>
        <w:spacing w:before="40" w:after="120" w:line="276" w:lineRule="auto"/>
      </w:pPr>
      <w:r>
        <w:rPr>
          <w:rFonts w:ascii="Segoe UI" w:hAnsi="Segoe UI"/>
          <w:color w:val="334155"/>
          <w:sz w:val="19"/>
        </w:rPr>
        <w:t>La persistencia actual en 'db.json' es idónea para entornos de demostración, pruebas unitarias y despliegues monousuario. Sin embargo, en una operación industrial con múltiples torniquetes registrando marcaciones simultáneamente en horas pico, el uso de JSON en disco presenta cuellos de botella por contención de I/O y riesgo de condiciones de carrera (Race Conditions). Se recomienda la transición hacia una base de datos relacional de grado empresarial.</w:t>
      </w:r>
    </w:p>
    <w:p>
      <w:pPr>
        <w:pStyle w:val="Heading2"/>
        <w:spacing w:before="240" w:after="80"/>
      </w:pPr>
      <w:r>
        <w:rPr>
          <w:rFonts w:ascii="Segoe UI" w:hAnsi="Segoe UI"/>
          <w:b/>
          <w:color w:val="3730A3"/>
          <w:sz w:val="25"/>
        </w:rPr>
        <w:t>Recomendaciones Específicas de Persistencia</w:t>
      </w:r>
    </w:p>
    <w:p>
      <w:pPr>
        <w:pStyle w:val="ListBullet"/>
        <w:spacing w:before="20" w:after="60"/>
      </w:pPr>
      <w:r>
        <w:rPr>
          <w:rFonts w:ascii="Segoe UI" w:hAnsi="Segoe UI"/>
          <w:b/>
          <w:color w:val="0F172A"/>
          <w:sz w:val="18"/>
        </w:rPr>
        <w:t xml:space="preserve">1. Migración a PostgreSQL 16 con Prisma ORM / Kysely: </w:t>
      </w:r>
      <w:r>
        <w:rPr>
          <w:rFonts w:ascii="Segoe UI" w:hAnsi="Segoe UI"/>
          <w:color w:val="334155"/>
          <w:sz w:val="18"/>
        </w:rPr>
        <w:t>Aprovechar el esquema ya diseñado en 'database/schema.sql' y 'database/sentinelpro_iam.sql'. Implementar conexión mediante Connection Pooling (pg-pool con 20-50 conexiones concurrentes) y transacciones ACID reales con aislamiento READ COMMITTED.</w:t>
      </w:r>
    </w:p>
    <w:p>
      <w:pPr>
        <w:pStyle w:val="ListBullet"/>
        <w:spacing w:before="20" w:after="60"/>
      </w:pPr>
      <w:r>
        <w:rPr>
          <w:rFonts w:ascii="Segoe UI" w:hAnsi="Segoe UI"/>
          <w:b/>
          <w:color w:val="0F172A"/>
          <w:sz w:val="18"/>
        </w:rPr>
        <w:t xml:space="preserve">2. Particionamiento Declarativo de Tablas de Gran Volumen: </w:t>
      </w:r>
      <w:r>
        <w:rPr>
          <w:rFonts w:ascii="Segoe UI" w:hAnsi="Segoe UI"/>
          <w:color w:val="334155"/>
          <w:sz w:val="18"/>
        </w:rPr>
        <w:t>Las tablas 'registros_acceso' y 'audit_logs' acumulan millones de filas al año. Se recomienda particionarlas por rango mensual (RANGE PARTITION BY created_at), manteniendo los índices en memoria y garantizando consultas de reportes en menos de 20 ms.</w:t>
      </w:r>
    </w:p>
    <w:p>
      <w:pPr>
        <w:pStyle w:val="ListBullet"/>
        <w:spacing w:before="20" w:after="60"/>
      </w:pPr>
      <w:r>
        <w:rPr>
          <w:rFonts w:ascii="Segoe UI" w:hAnsi="Segoe UI"/>
          <w:b/>
          <w:color w:val="0F172A"/>
          <w:sz w:val="18"/>
        </w:rPr>
        <w:t xml:space="preserve">3. Capa de Caché y Memoria con Redis 7: </w:t>
      </w:r>
      <w:r>
        <w:rPr>
          <w:rFonts w:ascii="Segoe UI" w:hAnsi="Segoe UI"/>
          <w:color w:val="334155"/>
          <w:sz w:val="18"/>
        </w:rPr>
        <w:t>Almacenar en Redis la lista blanca de credenciales activas (DNI/RFID -&gt; Estado: AUTORIZADO), permitiendo que la verificación en garita responda en &lt;2 milisegundos sin tocar la base de datos primaria. Además, utilizar Redis para el almacenamiento de sesiones activas y lista negra de tokens revocados.</w:t>
      </w:r>
    </w:p>
    <w:p>
      <w:pPr>
        <w:pStyle w:val="ListBullet"/>
        <w:spacing w:before="20" w:after="60"/>
      </w:pPr>
      <w:r>
        <w:rPr>
          <w:rFonts w:ascii="Segoe UI" w:hAnsi="Segoe UI"/>
          <w:b/>
          <w:color w:val="0F172A"/>
          <w:sz w:val="18"/>
        </w:rPr>
        <w:t xml:space="preserve">4. Estrategia de Respaldo Continuo (RPO &lt; 5 min, RTO &lt; 15 min): </w:t>
      </w:r>
      <w:r>
        <w:rPr>
          <w:rFonts w:ascii="Segoe UI" w:hAnsi="Segoe UI"/>
          <w:color w:val="334155"/>
          <w:sz w:val="18"/>
        </w:rPr>
        <w:t>Configurar archivado continuo de WAL (Write-Ahead Logging) hacia almacenamiento S3/Cloud Storage, complementado con copias de seguridad lógicas diarias automatizadas.</w:t>
      </w: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Criterio de Evaluación</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Implementación Actual (db.json)</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Implementación Recomendada (PostgreSQL + Redis)</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Capacidad de Concurrencia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Baja (~10 marcaciones/seg)</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Muy Alta (5,000+ marcaciones/seg)</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Consistencia y Transacciones</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Emulada en memoria con writeFileSync</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Transacciones ACID nativas con Rollback automático</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Tiempo de Consulta de Historial</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Lineal O(N) filtrando arreglos JS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O(log N) con índices B-Tree y BRIN sobre timestamps</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Riesgo de Corrupción</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Medio (apagón durante writeFileSync)</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Cero (protección WAL y replicación síncrona)</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Escalabilidad Horizontal</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soportada (un solo nodo)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Totalmente soportada (Read Replicas + Connection Pooler)</w:t>
            </w:r>
          </w:p>
        </w:tc>
      </w:tr>
    </w:tbl>
    <w:p>
      <w:pPr>
        <w:spacing w:after="80"/>
      </w:pPr>
    </w:p>
    <w:p>
      <w:pPr>
        <w:pStyle w:val="Heading1"/>
        <w:spacing w:before="320" w:after="80"/>
      </w:pPr>
      <w:r>
        <w:rPr>
          <w:rFonts w:ascii="Segoe UI" w:hAnsi="Segoe UI"/>
          <w:b/>
          <w:color w:val="0F172A"/>
          <w:sz w:val="32"/>
        </w:rPr>
        <w:t>3. Eje 2 — Fortalecimiento de la Seguridad Criptográfica e IAM</w:t>
      </w:r>
    </w:p>
    <w:p>
      <w:pPr>
        <w:pBdr>
          <w:bottom w:val="single" w:sz="14" w:space="1" w:color="3730A3"/>
        </w:pBdr>
        <w:spacing w:before="40" w:after="160"/>
      </w:pPr>
    </w:p>
    <w:p>
      <w:pPr>
        <w:spacing w:before="40" w:after="120" w:line="276" w:lineRule="auto"/>
      </w:pPr>
      <w:r>
        <w:rPr>
          <w:rFonts w:ascii="Segoe UI" w:hAnsi="Segoe UI"/>
          <w:color w:val="334155"/>
          <w:sz w:val="19"/>
        </w:rPr>
        <w:t>La seguridad IAM es el núcleo de SentinelPro. Para alcanzar cumplimiento con estándares internacionales (ISO/IEC 27001, SOC 2 Tipo II, NIST SP 800-63B), se recomienda enriquecer el motor criptográfico con las siguientes capacidades:</w:t>
      </w:r>
    </w:p>
    <w:p>
      <w:pPr>
        <w:pStyle w:val="Heading2"/>
        <w:spacing w:before="240" w:after="80"/>
      </w:pPr>
      <w:r>
        <w:rPr>
          <w:rFonts w:ascii="Segoe UI" w:hAnsi="Segoe UI"/>
          <w:b/>
          <w:color w:val="3730A3"/>
          <w:sz w:val="25"/>
        </w:rPr>
        <w:t>Medidas de Seguridad Críticas a Implementar</w:t>
      </w:r>
    </w:p>
    <w:p>
      <w:pPr>
        <w:pStyle w:val="ListBullet"/>
        <w:spacing w:before="20" w:after="60"/>
      </w:pPr>
      <w:r>
        <w:rPr>
          <w:rFonts w:ascii="Segoe UI" w:hAnsi="Segoe UI"/>
          <w:b/>
          <w:color w:val="0F172A"/>
          <w:sz w:val="18"/>
        </w:rPr>
        <w:t xml:space="preserve">1. Autenticación Multifactor (MFA / 2FA) basada en RFC 6238 (TOTP): </w:t>
      </w:r>
      <w:r>
        <w:rPr>
          <w:rFonts w:ascii="Segoe UI" w:hAnsi="Segoe UI"/>
          <w:color w:val="334155"/>
          <w:sz w:val="18"/>
        </w:rPr>
        <w:t>Obligatoria para usuarios con roles 'SUPER_ADMIN', 'ADMIN_SEGURIDAD' y 'SUPERVISOR_RRHH'. Compatibilidad con Google Authenticator, Microsoft Authenticator y llaves físicas FIDO2/WebAuthn (YubiKey).</w:t>
      </w:r>
    </w:p>
    <w:p>
      <w:pPr>
        <w:pStyle w:val="ListBullet"/>
        <w:spacing w:before="20" w:after="60"/>
      </w:pPr>
      <w:r>
        <w:rPr>
          <w:rFonts w:ascii="Segoe UI" w:hAnsi="Segoe UI"/>
          <w:b/>
          <w:color w:val="0F172A"/>
          <w:sz w:val="18"/>
        </w:rPr>
        <w:t xml:space="preserve">2. Arquitectura de Tokens OAuth2 / OIDC con Par de Tokens Rotativos: </w:t>
      </w:r>
      <w:r>
        <w:rPr>
          <w:rFonts w:ascii="Segoe UI" w:hAnsi="Segoe UI"/>
          <w:color w:val="334155"/>
          <w:sz w:val="18"/>
        </w:rPr>
        <w:t>Reemplazar el token único actual por: a) Access Token JWT de corta vida (15 minutos), y b) Refresh Token criptográfico rotativo (vida de 7 días) almacenado exclusivamente en cookies HTTP-Only, Secure, SameSite=Strict, inmune a ataques XSS.</w:t>
      </w:r>
    </w:p>
    <w:p>
      <w:pPr>
        <w:pStyle w:val="ListBullet"/>
        <w:spacing w:before="20" w:after="60"/>
      </w:pPr>
      <w:r>
        <w:rPr>
          <w:rFonts w:ascii="Segoe UI" w:hAnsi="Segoe UI"/>
          <w:b/>
          <w:color w:val="0F172A"/>
          <w:sz w:val="18"/>
        </w:rPr>
        <w:t xml:space="preserve">3. Integración con Directorios Corporativos (SSO / SAML 2.0 / OpenID Connect): </w:t>
      </w:r>
      <w:r>
        <w:rPr>
          <w:rFonts w:ascii="Segoe UI" w:hAnsi="Segoe UI"/>
          <w:color w:val="334155"/>
          <w:sz w:val="18"/>
        </w:rPr>
        <w:t>Permitir que los colaboradores y administradores inicien sesión con las credenciales corporativas de Microsoft Entra ID (Azure AD), Google Workspace u Okta, facilitando el aprovisionamiento automático mediante SCIM 2.0.</w:t>
      </w:r>
    </w:p>
    <w:p>
      <w:pPr>
        <w:pStyle w:val="ListBullet"/>
        <w:spacing w:before="20" w:after="60"/>
      </w:pPr>
      <w:r>
        <w:rPr>
          <w:rFonts w:ascii="Segoe UI" w:hAnsi="Segoe UI"/>
          <w:b/>
          <w:color w:val="0F172A"/>
          <w:sz w:val="18"/>
        </w:rPr>
        <w:t xml:space="preserve">4. Rate Limiting Adaptativo y Defensa contra Ataques de Fuerza Bruta: </w:t>
      </w:r>
      <w:r>
        <w:rPr>
          <w:rFonts w:ascii="Segoe UI" w:hAnsi="Segoe UI"/>
          <w:color w:val="334155"/>
          <w:sz w:val="18"/>
        </w:rPr>
        <w:t>Implementar limitación de tasa basada en el algoritmo Token Bucket tanto por dirección IP como por identificador de cuenta. Bloquear temporalmente intentos de marcación reiterados con tarjetas inválidas o contraseñas erróneas (máximo 5 intentos en 1 minuto).</w:t>
      </w:r>
    </w:p>
    <w:p>
      <w:pPr>
        <w:pStyle w:val="ListBullet"/>
        <w:spacing w:before="20" w:after="60"/>
      </w:pPr>
      <w:r>
        <w:rPr>
          <w:rFonts w:ascii="Segoe UI" w:hAnsi="Segoe UI"/>
          <w:b/>
          <w:color w:val="0F172A"/>
          <w:sz w:val="18"/>
        </w:rPr>
        <w:t xml:space="preserve">5. Hardening de Cabeceras HTTP y Protección CSRF: </w:t>
      </w:r>
      <w:r>
        <w:rPr>
          <w:rFonts w:ascii="Segoe UI" w:hAnsi="Segoe UI"/>
          <w:color w:val="334155"/>
          <w:sz w:val="18"/>
        </w:rPr>
        <w:t>Integrar políticas estrictas de Content Security Policy (CSP), Strict-Transport-Security (HSTS), X-Content-Type-Options: nosniff, y tokens anti-CSRF para todas las mutaciones POST/PATCH/DELETE.</w:t>
      </w:r>
    </w:p>
    <w:tbl>
      <w:tblPr>
        <w:tblW w:type="auto" w:w="0"/>
        <w:jc w:val="center"/>
        <w:tblLook w:firstColumn="1" w:firstRow="1" w:lastColumn="0" w:lastRow="0" w:noHBand="0" w:noVBand="1" w:val="04A0"/>
      </w:tblPr>
      <w:tblGrid>
        <w:gridCol w:w="9632"/>
      </w:tblGrid>
      <w:tr>
        <w:tc>
          <w:tcPr>
            <w:tcW w:type="dxa" w:w="9632"/>
            <w:shd w:val="clear" w:color="auto" w:fill="F1F5F9"/>
            <w:tcBorders>
              <w:left w:val="single" w:sz="24" w:space="0" w:color="D97706"/>
              <w:top w:val="none"/>
              <w:bottom w:val="none"/>
              <w:right w:val="none"/>
            </w:tcBorders>
            <w:tcMar>
              <w:top w:w="90" w:type="dxa"/>
              <w:bottom w:w="90" w:type="dxa"/>
              <w:left w:w="140" w:type="dxa"/>
              <w:right w:w="140" w:type="dxa"/>
            </w:tcMar>
          </w:tcPr>
          <w:p>
            <w:pPr>
              <w:spacing w:before="0" w:after="40"/>
            </w:pPr>
            <w:r>
              <w:rPr>
                <w:rFonts w:ascii="Segoe UI" w:hAnsi="Segoe UI"/>
                <w:b/>
                <w:color w:val="0F172A"/>
                <w:sz w:val="19"/>
              </w:rPr>
              <w:t>📌 Gestión de Secretos y Rotación Criptográfica</w:t>
              <w:br/>
            </w:r>
            <w:r>
              <w:rPr>
                <w:rFonts w:ascii="Segoe UI" w:hAnsi="Segoe UI"/>
                <w:color w:val="334155"/>
                <w:sz w:val="18"/>
              </w:rPr>
              <w:t>Actualmente AUTH_SECRET cuenta con un valor fallback en código. En producción es perentorio exigir que AUTH_SECRET sea inyectado exclusivamente vía variables de entorno o mediante un gestor de secretos (HashiCorp Vault, AWS Secrets Manager o GCP Secret Manager), con rotación programada cada 90 días sin desconectar sesiones en curso gracias a un esquema de doble clave (clave activa y clave anterior).</w:t>
            </w:r>
          </w:p>
        </w:tc>
      </w:tr>
    </w:tbl>
    <w:p>
      <w:pPr>
        <w:spacing w:after="80"/>
      </w:pPr>
    </w:p>
    <w:p>
      <w:pPr>
        <w:pStyle w:val="Heading1"/>
        <w:spacing w:before="320" w:after="80"/>
      </w:pPr>
      <w:r>
        <w:rPr>
          <w:rFonts w:ascii="Segoe UI" w:hAnsi="Segoe UI"/>
          <w:b/>
          <w:color w:val="0F172A"/>
          <w:sz w:val="32"/>
        </w:rPr>
        <w:t>4. Eje 3 — Integración de Hardware Físico en Portería (IoT &amp; Edge)</w:t>
      </w:r>
    </w:p>
    <w:p>
      <w:pPr>
        <w:pBdr>
          <w:bottom w:val="single" w:sz="14" w:space="1" w:color="3730A3"/>
        </w:pBdr>
        <w:spacing w:before="40" w:after="160"/>
      </w:pPr>
    </w:p>
    <w:p>
      <w:pPr>
        <w:spacing w:before="40" w:after="120" w:line="276" w:lineRule="auto"/>
      </w:pPr>
      <w:r>
        <w:rPr>
          <w:rFonts w:ascii="Segoe UI" w:hAnsi="Segoe UI"/>
          <w:color w:val="334155"/>
          <w:sz w:val="19"/>
        </w:rPr>
        <w:t>Para que SentinelPro IAM gobierne el mundo físico de forma automatizada, debe interconectarse con los dispositivos de campo instalados en la portería y garitas de acceso.</w:t>
      </w:r>
    </w:p>
    <w:p>
      <w:pPr>
        <w:pStyle w:val="Heading2"/>
        <w:spacing w:before="240" w:after="80"/>
      </w:pPr>
      <w:r>
        <w:rPr>
          <w:rFonts w:ascii="Segoe UI" w:hAnsi="Segoe UI"/>
          <w:b/>
          <w:color w:val="3730A3"/>
          <w:sz w:val="25"/>
        </w:rPr>
        <w:t>Protocolos y Dispositivos de Campo</w:t>
      </w: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Tipo de Dispositivo</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Protocolo Recomendado</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Lógica de Integración y Beneficio Operativo</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Torniquetes y Molinetes Peatonales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OSDP v2 sobre RS-485 o Relés IP</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Envío de pulso de apertura de 500 ms únicamente tras validación positiva en Backend. Monitoreo del sensor de paso para detectar paso no completado o saltos.</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Lectores RFID / NFC</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Mifare DESFire EV2/EV3 (Cifrado AES)</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Lectura segura del UID y sector cifrado de la tarjeta corporativa. Previene la clonación de tarjetas convencionales Mifare Classic de 13.56 MHz.</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Terminales de Autogestión (Kioscos)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WebSockets / WebUSB / HID</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Lector de código de barras / QR industrial láser conectado al terminal para lectura instantánea de cédulas y carnets digitales desde el móvil del trabajador.</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Barreras Vehiculares de Garita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Controladora IP Modbus / TCP</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Apertura automatizada de talanqueras para camiones y vehículos autorizados tras validar placa o tag RFID vehicular (UHF pasivo 900 MHz).</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Cámaras LPR / ANPR</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ONVIF Profile S/T + API REST</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Captura automática de la placa del vehículo en garita, cruzándola con el padrón de vehículos autorizados y vinculándola con el registro de acceso del chofer.</w:t>
            </w:r>
          </w:p>
        </w:tc>
      </w:tr>
    </w:tbl>
    <w:p>
      <w:pPr>
        <w:spacing w:after="80"/>
      </w:pPr>
    </w:p>
    <w:p>
      <w:pPr>
        <w:pStyle w:val="Heading2"/>
        <w:spacing w:before="240" w:after="80"/>
      </w:pPr>
      <w:r>
        <w:rPr>
          <w:rFonts w:ascii="Segoe UI" w:hAnsi="Segoe UI"/>
          <w:b/>
          <w:color w:val="3730A3"/>
          <w:sz w:val="25"/>
        </w:rPr>
        <w:t>Credenciales Móviles con Códigos QR Dinámicos (Antifraude)</w:t>
      </w:r>
    </w:p>
    <w:p>
      <w:pPr>
        <w:spacing w:before="40" w:after="120" w:line="276" w:lineRule="auto"/>
      </w:pPr>
      <w:r>
        <w:rPr>
          <w:rFonts w:ascii="Segoe UI" w:hAnsi="Segoe UI"/>
          <w:color w:val="334155"/>
          <w:sz w:val="19"/>
        </w:rPr>
        <w:t>Una vulnerabilidad común en los códigos QR estáticos es que los trabajadores pueden compartir una captura de pantalla a un compañero para que fiche por ellos. Se recomienda implementar Códigos QR Dinámicos con TOTP: el código cambia cada 30 segundos en la aplicación móvil del trabajador, firmado criptográficamente con una clave simétrica única por empleado. El lector de garita valida la firma y el código en tiempo real, imposibilitando el uso de capturas de pantalla o fotografías.</w:t>
      </w:r>
    </w:p>
    <w:p>
      <w:pPr>
        <w:pStyle w:val="Heading1"/>
        <w:spacing w:before="320" w:after="80"/>
      </w:pPr>
      <w:r>
        <w:rPr>
          <w:rFonts w:ascii="Segoe UI" w:hAnsi="Segoe UI"/>
          <w:b/>
          <w:color w:val="0F172A"/>
          <w:sz w:val="32"/>
        </w:rPr>
        <w:t>5. Eje 4 — Arquitectura Garita Offline-First (Continuidad de Negocio)</w:t>
      </w:r>
    </w:p>
    <w:p>
      <w:pPr>
        <w:pBdr>
          <w:bottom w:val="single" w:sz="14" w:space="1" w:color="3730A3"/>
        </w:pBdr>
        <w:spacing w:before="40" w:after="160"/>
      </w:pPr>
    </w:p>
    <w:p>
      <w:pPr>
        <w:spacing w:before="40" w:after="120" w:line="276" w:lineRule="auto"/>
      </w:pPr>
      <w:r>
        <w:rPr>
          <w:rFonts w:ascii="Segoe UI" w:hAnsi="Segoe UI"/>
          <w:color w:val="334155"/>
          <w:sz w:val="19"/>
        </w:rPr>
        <w:t>En un entorno industrial, la garita de portería no puede detenerse si ocurre una falla en el enlace de fibra óptica, corte del switch principal o caída del servidor central. El ingreso de cientos de trabajadores no debe verse interrumpido bajo ninguna circunstancia.</w:t>
      </w:r>
    </w:p>
    <w:tbl>
      <w:tblPr>
        <w:tblW w:type="auto" w:w="0"/>
        <w:jc w:val="center"/>
        <w:tblLook w:firstColumn="1" w:firstRow="1" w:lastColumn="0" w:lastRow="0" w:noHBand="0" w:noVBand="1" w:val="04A0"/>
      </w:tblPr>
      <w:tblGrid>
        <w:gridCol w:w="9632"/>
      </w:tblGrid>
      <w:tr>
        <w:tc>
          <w:tcPr>
            <w:tcW w:type="dxa" w:w="9632"/>
            <w:shd w:val="clear" w:color="auto" w:fill="F1F5F9"/>
            <w:tcBorders>
              <w:left w:val="single" w:sz="24" w:space="0" w:color="1E40AF"/>
              <w:top w:val="none"/>
              <w:bottom w:val="none"/>
              <w:right w:val="none"/>
            </w:tcBorders>
            <w:tcMar>
              <w:top w:w="90" w:type="dxa"/>
              <w:bottom w:w="90" w:type="dxa"/>
              <w:left w:w="140" w:type="dxa"/>
              <w:right w:w="140" w:type="dxa"/>
            </w:tcMar>
          </w:tcPr>
          <w:p>
            <w:pPr>
              <w:spacing w:before="0" w:after="40"/>
            </w:pPr>
            <w:r>
              <w:rPr>
                <w:rFonts w:ascii="Segoe UI" w:hAnsi="Segoe UI"/>
                <w:b/>
                <w:color w:val="0F172A"/>
                <w:sz w:val="19"/>
              </w:rPr>
              <w:t>📌 Principio de Operación Offline-First</w:t>
              <w:br/>
            </w:r>
            <w:r>
              <w:rPr>
                <w:rFonts w:ascii="Segoe UI" w:hAnsi="Segoe UI"/>
                <w:color w:val="334155"/>
                <w:sz w:val="18"/>
              </w:rPr>
              <w:t>El terminal o tableta del vigilante debe estar dotado de un Agente Edge local con base de datos SQLite integrada. El agente almacena una réplica local compacta del padrón de trabajadores y zonas autorizadas. Si se pierde la conexión con el servidor central, el terminal conmuta automáticamente a MODO OFFLINE, permitiendo el registro ininterrumpido.</w:t>
            </w:r>
          </w:p>
        </w:tc>
      </w:tr>
    </w:tbl>
    <w:p>
      <w:pPr>
        <w:spacing w:after="80"/>
      </w:pPr>
    </w:p>
    <w:p>
      <w:pPr>
        <w:pStyle w:val="Heading2"/>
        <w:spacing w:before="240" w:after="80"/>
      </w:pPr>
      <w:r>
        <w:rPr>
          <w:rFonts w:ascii="Segoe UI" w:hAnsi="Segoe UI"/>
          <w:b/>
          <w:color w:val="3730A3"/>
          <w:sz w:val="25"/>
        </w:rPr>
        <w:t>Mecanismo de Sincronización Bidireccional</w:t>
      </w:r>
    </w:p>
    <w:p>
      <w:pPr>
        <w:pStyle w:val="ListBullet"/>
        <w:spacing w:before="20" w:after="60"/>
      </w:pPr>
      <w:r>
        <w:rPr>
          <w:rFonts w:ascii="Segoe UI" w:hAnsi="Segoe UI"/>
          <w:b/>
          <w:color w:val="0F172A"/>
          <w:sz w:val="18"/>
        </w:rPr>
        <w:t xml:space="preserve">1. Detección Automática de Conectividad (Heartbeat): </w:t>
      </w:r>
      <w:r>
        <w:rPr>
          <w:rFonts w:ascii="Segoe UI" w:hAnsi="Segoe UI"/>
          <w:color w:val="334155"/>
          <w:sz w:val="18"/>
        </w:rPr>
        <w:t>Un ping cada 5 segundos hacia /api/health determina el estado Online/Offline del enlace de portería.</w:t>
      </w:r>
    </w:p>
    <w:p>
      <w:pPr>
        <w:pStyle w:val="ListBullet"/>
        <w:spacing w:before="20" w:after="60"/>
      </w:pPr>
      <w:r>
        <w:rPr>
          <w:rFonts w:ascii="Segoe UI" w:hAnsi="Segoe UI"/>
          <w:b/>
          <w:color w:val="0F172A"/>
          <w:sz w:val="18"/>
        </w:rPr>
        <w:t xml:space="preserve">2. Cola de Eventos Locales Transaccionales: </w:t>
      </w:r>
      <w:r>
        <w:rPr>
          <w:rFonts w:ascii="Segoe UI" w:hAnsi="Segoe UI"/>
          <w:color w:val="334155"/>
          <w:sz w:val="18"/>
        </w:rPr>
        <w:t>Cada marcación efectuada en modo offline se encola localmente en SQLite con UUID v4, timestamp de precisión microsegundo y firma local del vigilante.</w:t>
      </w:r>
    </w:p>
    <w:p>
      <w:pPr>
        <w:pStyle w:val="ListBullet"/>
        <w:spacing w:before="20" w:after="60"/>
      </w:pPr>
      <w:r>
        <w:rPr>
          <w:rFonts w:ascii="Segoe UI" w:hAnsi="Segoe UI"/>
          <w:b/>
          <w:color w:val="0F172A"/>
          <w:sz w:val="18"/>
        </w:rPr>
        <w:t xml:space="preserve">3. Sincronización en Ráfaga con Resolución de Conflictos: </w:t>
      </w:r>
      <w:r>
        <w:rPr>
          <w:rFonts w:ascii="Segoe UI" w:hAnsi="Segoe UI"/>
          <w:color w:val="334155"/>
          <w:sz w:val="18"/>
        </w:rPr>
        <w:t>Al reanudarse la red, el agente local envía los lotes en cola al endpoint /api/admin/acceso/sincronizar-offline. El servidor central procesa los eventos en orden cronológico real, actualiza el aforo y audita el origen con la etiqueta 'MODO_OFFLINE_RECUPERADO'.</w:t>
      </w:r>
    </w:p>
    <w:p>
      <w:pPr>
        <w:pStyle w:val="Heading1"/>
        <w:spacing w:before="320" w:after="80"/>
      </w:pPr>
      <w:r>
        <w:rPr>
          <w:rFonts w:ascii="Segoe UI" w:hAnsi="Segoe UI"/>
          <w:b/>
          <w:color w:val="0F172A"/>
          <w:sz w:val="32"/>
        </w:rPr>
        <w:t>6. Eje 5 — Modernización del Backend y Arquitectura por Eventos</w:t>
      </w:r>
    </w:p>
    <w:p>
      <w:pPr>
        <w:pBdr>
          <w:bottom w:val="single" w:sz="14" w:space="1" w:color="3730A3"/>
        </w:pBdr>
        <w:spacing w:before="40" w:after="160"/>
      </w:pPr>
    </w:p>
    <w:p>
      <w:pPr>
        <w:spacing w:before="40" w:after="120" w:line="276" w:lineRule="auto"/>
      </w:pPr>
      <w:r>
        <w:rPr>
          <w:rFonts w:ascii="Segoe UI" w:hAnsi="Segoe UI"/>
          <w:color w:val="334155"/>
          <w:sz w:val="19"/>
        </w:rPr>
        <w:t>El backend actual destaca por su limpieza y ausencia de dependencias. Para escalar a múltiples sedes geográficas y miles de usuarios concurrentes, se recomienda evolucionar la estructura hacia Clean Architecture y desacoplamiento por eventos:</w:t>
      </w:r>
    </w:p>
    <w:p>
      <w:pPr>
        <w:pStyle w:val="Heading2"/>
        <w:spacing w:before="240" w:after="80"/>
      </w:pPr>
      <w:r>
        <w:rPr>
          <w:rFonts w:ascii="Segoe UI" w:hAnsi="Segoe UI"/>
          <w:b/>
          <w:color w:val="3730A3"/>
          <w:sz w:val="25"/>
        </w:rPr>
        <w:t>Pilares de Evolución del Backend</w:t>
      </w:r>
    </w:p>
    <w:p>
      <w:pPr>
        <w:pStyle w:val="ListBullet"/>
        <w:spacing w:before="20" w:after="60"/>
      </w:pPr>
      <w:r>
        <w:rPr>
          <w:rFonts w:ascii="Segoe UI" w:hAnsi="Segoe UI"/>
          <w:b/>
          <w:color w:val="0F172A"/>
          <w:sz w:val="18"/>
        </w:rPr>
        <w:t xml:space="preserve">1. Migración Gradual a TypeScript: </w:t>
      </w:r>
      <w:r>
        <w:rPr>
          <w:rFonts w:ascii="Segoe UI" w:hAnsi="Segoe UI"/>
          <w:color w:val="334155"/>
          <w:sz w:val="18"/>
        </w:rPr>
        <w:t>Tipado estático exhaustivo de entidades (Trabajador, RegistroAcceso, PermisoEfectivo, Sesion, AuditoriaLog). Detección de errores en tiempo de compilación y mayor mantenibilidad del código base.</w:t>
      </w:r>
    </w:p>
    <w:p>
      <w:pPr>
        <w:pStyle w:val="ListBullet"/>
        <w:spacing w:before="20" w:after="60"/>
      </w:pPr>
      <w:r>
        <w:rPr>
          <w:rFonts w:ascii="Segoe UI" w:hAnsi="Segoe UI"/>
          <w:b/>
          <w:color w:val="0F172A"/>
          <w:sz w:val="18"/>
        </w:rPr>
        <w:t xml:space="preserve">2. Event-Driven Architecture (EDA) con BullMQ / RabbitMQ: </w:t>
      </w:r>
      <w:r>
        <w:rPr>
          <w:rFonts w:ascii="Segoe UI" w:hAnsi="Segoe UI"/>
          <w:color w:val="334155"/>
          <w:sz w:val="18"/>
        </w:rPr>
        <w:t>Desacoplar las tareas no críticas del hilo principal de la marcación en portería. Cuando un trabajador pasa por el torniquete, el backend responde en &lt;50 ms confirmando el acceso; inmediatamente emite un evento 'AccesoRegistradoEvent' que procesa de forma asíncrona: a) Actualización de métricas en Redis, b) Verificación de alertas de seguridad, c) Envío de notificaciones a supervisores, d) Registro de auditoría.</w:t>
      </w:r>
    </w:p>
    <w:p>
      <w:pPr>
        <w:pStyle w:val="ListBullet"/>
        <w:spacing w:before="20" w:after="60"/>
      </w:pPr>
      <w:r>
        <w:rPr>
          <w:rFonts w:ascii="Segoe UI" w:hAnsi="Segoe UI"/>
          <w:b/>
          <w:color w:val="0F172A"/>
          <w:sz w:val="18"/>
        </w:rPr>
        <w:t xml:space="preserve">3. Canales WebSockets / SSE en Vivo: </w:t>
      </w:r>
      <w:r>
        <w:rPr>
          <w:rFonts w:ascii="Segoe UI" w:hAnsi="Segoe UI"/>
          <w:color w:val="334155"/>
          <w:sz w:val="18"/>
        </w:rPr>
        <w:t>Eliminar el sondeo periódico (polling). Utilizar Server-Sent Events (SSE) o WebSockets para emitir actualizaciones instantáneas hacia la consola del vigilante, el monitor de aforo y el panel del Director de Seguridad.</w:t>
      </w:r>
    </w:p>
    <w:p>
      <w:pPr>
        <w:pStyle w:val="Heading1"/>
        <w:spacing w:before="320" w:after="80"/>
      </w:pPr>
      <w:r>
        <w:rPr>
          <w:rFonts w:ascii="Segoe UI" w:hAnsi="Segoe UI"/>
          <w:b/>
          <w:color w:val="0F172A"/>
          <w:sz w:val="32"/>
        </w:rPr>
        <w:t>7. Eje 6 — Experiencia de Usuario (UI/UX) y Modos de Operación</w:t>
      </w:r>
    </w:p>
    <w:p>
      <w:pPr>
        <w:pBdr>
          <w:bottom w:val="single" w:sz="14" w:space="1" w:color="3730A3"/>
        </w:pBdr>
        <w:spacing w:before="40" w:after="160"/>
      </w:pPr>
    </w:p>
    <w:p>
      <w:pPr>
        <w:spacing w:before="40" w:after="120" w:line="276" w:lineRule="auto"/>
      </w:pPr>
      <w:r>
        <w:rPr>
          <w:rFonts w:ascii="Segoe UI" w:hAnsi="Segoe UI"/>
          <w:color w:val="334155"/>
          <w:sz w:val="19"/>
        </w:rPr>
        <w:t>La interfaz actual en 'public/app.js' y 'public/styles.css' es completa y funcional. Para optimizar el rendimiento en campo, se recomiendan los siguientes refinamientos ergonómicos y técnicos:</w:t>
      </w:r>
    </w:p>
    <w:p>
      <w:pPr>
        <w:pStyle w:val="Heading2"/>
        <w:spacing w:before="240" w:after="80"/>
      </w:pPr>
      <w:r>
        <w:rPr>
          <w:rFonts w:ascii="Segoe UI" w:hAnsi="Segoe UI"/>
          <w:b/>
          <w:color w:val="3730A3"/>
          <w:sz w:val="25"/>
        </w:rPr>
        <w:t>Mejoras de Interfaz de Usuario</w:t>
      </w: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Módulo / Vista</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Mejora Propuesta</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Impacto Operativo</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Kiosco de Autoservicio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Modo Fullscreen táctil con botones de 80x80px mínimo y paleta de alto contraste</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Permite marcaciones ágiles por parte de operarios con guantes o en condiciones de baja luminosidad.</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Feedback Acústico y Háptico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Emisión de tonos de audio diferenciados (Beep agudo: acceso concedido; Doble tono grave: acceso denegado)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El vigilante escucha el resultado de la marcación a distancia sin necesidad de mirar permanentemente el monitor.</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PWA para Dispositivos Móviles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Instalación como Progressive Web App en tablets Android/iOS para rondines de seguridad</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Los guardias de seguridad pueden auditar personal en patios, almacenes y áreas remotas sin estar atados a la garita.</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Diseño Accesible (WCAG 2.1 AA)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Navegación completa por teclado (Tab/Enter), contraste mínimo de texto 4.5:1 y soporte para lectores de pantalla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Cumplimiento normativo y facilidad de uso para operadores con diversas capacidades.</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Visualización de Aforo en Planta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Mapa interactivo SVG de la planta con indicadores de calor y capacidad por zona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Detección inmediata de áreas sobrepobladas o cuellos de botella en emergencias y evacuaciones.</w:t>
            </w:r>
          </w:p>
        </w:tc>
      </w:tr>
    </w:tbl>
    <w:p>
      <w:pPr>
        <w:spacing w:after="80"/>
      </w:pPr>
    </w:p>
    <w:p>
      <w:pPr>
        <w:pStyle w:val="Heading1"/>
        <w:spacing w:before="320" w:after="80"/>
      </w:pPr>
      <w:r>
        <w:rPr>
          <w:rFonts w:ascii="Segoe UI" w:hAnsi="Segoe UI"/>
          <w:b/>
          <w:color w:val="0F172A"/>
          <w:sz w:val="32"/>
        </w:rPr>
        <w:t>8. Eje 7 — DevOps, Infraestructura en la Nube y Observabilidad</w:t>
      </w:r>
    </w:p>
    <w:p>
      <w:pPr>
        <w:pBdr>
          <w:bottom w:val="single" w:sz="14" w:space="1" w:color="3730A3"/>
        </w:pBdr>
        <w:spacing w:before="40" w:after="160"/>
      </w:pPr>
    </w:p>
    <w:p>
      <w:pPr>
        <w:spacing w:before="40" w:after="120" w:line="276" w:lineRule="auto"/>
      </w:pPr>
      <w:r>
        <w:rPr>
          <w:rFonts w:ascii="Segoe UI" w:hAnsi="Segoe UI"/>
          <w:color w:val="334155"/>
          <w:sz w:val="19"/>
        </w:rPr>
        <w:t>Un sistema de control de acceso físico requiere una disponibilidad del 99.99% (cuatro nueves). A continuación se detallan las prácticas DevOps e infraestructura recomendadas para garantizar alta disponibilidad y despliegues sin interrupción (Zero-Downtime):</w:t>
      </w:r>
    </w:p>
    <w:p>
      <w:pPr>
        <w:pStyle w:val="Heading2"/>
        <w:spacing w:before="240" w:after="80"/>
      </w:pPr>
      <w:r>
        <w:rPr>
          <w:rFonts w:ascii="Segoe UI" w:hAnsi="Segoe UI"/>
          <w:b/>
          <w:color w:val="3730A3"/>
          <w:sz w:val="25"/>
        </w:rPr>
        <w:t>Prácticas de Ingeniería DevOps</w:t>
      </w:r>
    </w:p>
    <w:p>
      <w:pPr>
        <w:pStyle w:val="ListBullet"/>
        <w:spacing w:before="20" w:after="60"/>
      </w:pPr>
      <w:r>
        <w:rPr>
          <w:rFonts w:ascii="Segoe UI" w:hAnsi="Segoe UI"/>
          <w:b/>
          <w:color w:val="0F172A"/>
          <w:sz w:val="18"/>
        </w:rPr>
        <w:t xml:space="preserve">1. Contenedorización Multi-Stage con Docker: </w:t>
      </w:r>
      <w:r>
        <w:rPr>
          <w:rFonts w:ascii="Segoe UI" w:hAnsi="Segoe UI"/>
          <w:color w:val="334155"/>
          <w:sz w:val="18"/>
        </w:rPr>
        <w:t>Crear un Dockerfile multi-etapa optimizado con imagen base Node.js Alpine o Distroless, reduciendo el tamaño del contenedor a menos de 100 MB y minimizando la superficie de vulnerabilidades de sistema operativo.</w:t>
      </w:r>
    </w:p>
    <w:p>
      <w:pPr>
        <w:pStyle w:val="ListBullet"/>
        <w:spacing w:before="20" w:after="60"/>
      </w:pPr>
      <w:r>
        <w:rPr>
          <w:rFonts w:ascii="Segoe UI" w:hAnsi="Segoe UI"/>
          <w:b/>
          <w:color w:val="0F172A"/>
          <w:sz w:val="18"/>
        </w:rPr>
        <w:t xml:space="preserve">2. Orquestación Local y de Producción: </w:t>
      </w:r>
      <w:r>
        <w:rPr>
          <w:rFonts w:ascii="Segoe UI" w:hAnsi="Segoe UI"/>
          <w:color w:val="334155"/>
          <w:sz w:val="18"/>
        </w:rPr>
        <w:t>Crear 'docker-compose.yml' que configure el ecosistema completo: servicio backend SentinelPro, base de datos PostgreSQL 16 con volumen persistente, instancia de Redis para caché y servidor Nginx como Reverse Proxy con terminación SSL/TLS.</w:t>
      </w:r>
    </w:p>
    <w:p>
      <w:pPr>
        <w:pStyle w:val="ListBullet"/>
        <w:spacing w:before="20" w:after="60"/>
      </w:pPr>
      <w:r>
        <w:rPr>
          <w:rFonts w:ascii="Segoe UI" w:hAnsi="Segoe UI"/>
          <w:b/>
          <w:color w:val="0F172A"/>
          <w:sz w:val="18"/>
        </w:rPr>
        <w:t xml:space="preserve">3. Pipeline CI/CD Automatizado en GitHub Actions: </w:t>
      </w:r>
      <w:r>
        <w:rPr>
          <w:rFonts w:ascii="Segoe UI" w:hAnsi="Segoe UI"/>
          <w:color w:val="334155"/>
          <w:sz w:val="18"/>
        </w:rPr>
        <w:t>Configurar un flujo de integración continua que ejecute en cada commit: a) Verificación de sintaxis y linter, b) Suite de pruebas automatizadas 'qa-test-suite.js', c) Análisis de seguridad estático SAST (Semgrep / Trivy), d) Construcción y publicación de imagen Docker.</w:t>
      </w:r>
    </w:p>
    <w:p>
      <w:pPr>
        <w:pStyle w:val="ListBullet"/>
        <w:spacing w:before="20" w:after="60"/>
      </w:pPr>
      <w:r>
        <w:rPr>
          <w:rFonts w:ascii="Segoe UI" w:hAnsi="Segoe UI"/>
          <w:b/>
          <w:color w:val="0F172A"/>
          <w:sz w:val="18"/>
        </w:rPr>
        <w:t xml:space="preserve">4. Pila de Observabilidad y Monitoreo Proactivo: </w:t>
      </w:r>
      <w:r>
        <w:rPr>
          <w:rFonts w:ascii="Segoe UI" w:hAnsi="Segoe UI"/>
          <w:color w:val="334155"/>
          <w:sz w:val="18"/>
        </w:rPr>
        <w:t>Reemplazar los console.log por un logger estructurado en formato JSON (Pino). Exponer endpoint /metrics para Prometheus y configurar dashboards en Grafana para vigilar: latencia de marcación en garita, tasa de errores 403/409, aforo global y consumo de memoria del servidor.</w:t>
      </w:r>
    </w:p>
    <w:p>
      <w:pPr>
        <w:pStyle w:val="Heading1"/>
        <w:spacing w:before="320" w:after="80"/>
      </w:pPr>
      <w:r>
        <w:rPr>
          <w:rFonts w:ascii="Segoe UI" w:hAnsi="Segoe UI"/>
          <w:b/>
          <w:color w:val="0F172A"/>
          <w:sz w:val="32"/>
        </w:rPr>
        <w:t>9. Plan de Implementación Cronológico (Roadmap)</w:t>
      </w:r>
    </w:p>
    <w:p>
      <w:pPr>
        <w:pBdr>
          <w:bottom w:val="single" w:sz="14" w:space="1" w:color="3730A3"/>
        </w:pBdr>
        <w:spacing w:before="40" w:after="160"/>
      </w:pPr>
    </w:p>
    <w:p>
      <w:pPr>
        <w:spacing w:before="40" w:after="120" w:line="276" w:lineRule="auto"/>
      </w:pPr>
      <w:r>
        <w:rPr>
          <w:rFonts w:ascii="Segoe UI" w:hAnsi="Segoe UI"/>
          <w:color w:val="334155"/>
          <w:sz w:val="19"/>
        </w:rPr>
        <w:t>Para llevar a cabo las mejoras de forma ordenada sin interrumpir las operaciones actuales, se establece un cronograma estructurado en 4 fases secuenciales:</w:t>
      </w:r>
    </w:p>
    <w:tbl>
      <w:tblPr>
        <w:tblW w:type="auto" w:w="0"/>
        <w:jc w:val="center"/>
        <w:tblLook w:firstColumn="1" w:firstRow="1" w:lastColumn="0" w:lastRow="0" w:noHBand="0" w:noVBand="1" w:val="04A0"/>
      </w:tblPr>
      <w:tblGrid>
        <w:gridCol w:w="2408"/>
        <w:gridCol w:w="2408"/>
        <w:gridCol w:w="2408"/>
        <w:gridCol w:w="2408"/>
      </w:tblGrid>
      <w:tr>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Fase y Plazo</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Objetivos Principales</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Entregables Clave</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Impacto</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Fase 1: Estabilización y Persistencia</w:t>
              <w:br/>
              <w:t>(Días 1 a 30)</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Migración a PostgreSQL 16.</w:t>
              <w:br/>
              <w:t>• Conexión de Redis para sesiones y caché.</w:t>
              <w:br/>
              <w:t>• Corrección de suite QA al 100%.</w:t>
              <w:br/>
              <w:t>• Dockerfile y docker-compose.</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Esquema relacional activo.</w:t>
              <w:br/>
              <w:t>• 15/15 pruebas QA automatizadas en CI.</w:t>
              <w:br/>
              <w:t>• Contenedores listos para prueba.</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Alta Concurrencia y Resiliencia de Datos</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Fase 2: Seguridad Criptográfica e IAM</w:t>
              <w:br/>
              <w:t>(Días 31 a 60)</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Autenticación Multifactor (MFA/TOTP).</w:t>
              <w:br/>
              <w:t>• Tokens OAuth2 (Access + Refresh en HttpOnly).</w:t>
              <w:br/>
              <w:t>• Rate Limiting estricto.</w:t>
              <w:br/>
              <w:t>• Migración de módulos a TypeScript.</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2FA activo para Administradores.</w:t>
              <w:br/>
              <w:t>• Mitigación total de ataques XSS/CSRF.</w:t>
              <w:br/>
              <w:t>• Código base tipado y robusto.</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Cumplimiento ISO 27001 y Cero Vulnerabilidades</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Fase 3: Hardware y Modo Offline</w:t>
              <w:br/>
              <w:t>(Días 61 a 90)</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Integración con hardware de torniquetes (OSDP/Wiegand).</w:t>
              <w:br/>
              <w:t>• Agente de Garita Offline-First con SQLite.</w:t>
              <w:br/>
              <w:t>• QR dinámicos anticlonación con TOTP.</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Kiosco operativo sin internet.</w:t>
              <w:br/>
              <w:t>• Apertura física de puertas validada.</w:t>
              <w:br/>
              <w:t>• Carnets móviles con QR dinámico.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Continuidad Operativa al 100% en Garita</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Fase 4: Escala, SSO y Producción</w:t>
              <w:br/>
              <w:t>(Días 91 a 180)</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Integración SSO corporativo (Azure AD / Google).</w:t>
              <w:br/>
              <w:t>• LPR vehicular automatizado con cámaras.</w:t>
              <w:br/>
              <w:t>• Despliegue en clúster Kubernetes.</w:t>
              <w:br/>
              <w:t>• Monitoreo con Grafana/Prometheus.</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Acceso unificado empresarial.</w:t>
              <w:br/>
              <w:t>• Control vehicular manos libres.</w:t>
              <w:br/>
              <w:t>• Alta disponibilidad (99.99%).</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Solución Enterprise de Clase Mundial</w:t>
            </w:r>
          </w:p>
        </w:tc>
      </w:tr>
    </w:tbl>
    <w:p>
      <w:pPr>
        <w:spacing w:after="80"/>
      </w:pPr>
    </w:p>
    <w:p>
      <w:pPr>
        <w:pStyle w:val="Heading1"/>
        <w:spacing w:before="320" w:after="80"/>
      </w:pPr>
      <w:r>
        <w:rPr>
          <w:rFonts w:ascii="Segoe UI" w:hAnsi="Segoe UI"/>
          <w:b/>
          <w:color w:val="0F172A"/>
          <w:sz w:val="32"/>
        </w:rPr>
        <w:t>10. Matriz de Riesgos Técnicos y Contingencias</w:t>
      </w:r>
    </w:p>
    <w:p>
      <w:pPr>
        <w:pBdr>
          <w:bottom w:val="single" w:sz="14" w:space="1" w:color="3730A3"/>
        </w:pBdr>
        <w:spacing w:before="40" w:after="160"/>
      </w:pPr>
    </w:p>
    <w:tbl>
      <w:tblPr>
        <w:tblW w:type="auto" w:w="0"/>
        <w:jc w:val="center"/>
        <w:tblLook w:firstColumn="1" w:firstRow="1" w:lastColumn="0" w:lastRow="0" w:noHBand="0" w:noVBand="1" w:val="04A0"/>
      </w:tblPr>
      <w:tblGrid>
        <w:gridCol w:w="2408"/>
        <w:gridCol w:w="2408"/>
        <w:gridCol w:w="2408"/>
        <w:gridCol w:w="2408"/>
      </w:tblGrid>
      <w:tr>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Riesgo Identificado</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Nivel</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Impacto Potencial</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Estrategia Preventiva y Plan de Contingencia</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Caída del enlace de red en garita principal</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ALTO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Imposibilidad de registrar entradas/salidas provocando aglomeraciones.</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Implementación de arquitectura Offline-First con SQLite local y sincronización asíncrona automática al restaurarse el enlace.</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Intento de suplantación mediante foto de código QR</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MEDIO</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Ingreso no autorizado de terceros haciéndose pasar por empleados.</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Uso de Códigos QR Dinámicos (rotación cada 30 segundos mediante algoritmo TOTP) y verificación obligatoria de foto en monitor de garita.</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Saturación por concurrencia en cambio de turno masivo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ALTO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Latencia superior a 3 segundos en el torniquete causando filas.</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Caché en memoria con Redis (lectura en &lt;2 ms), Connection Pooling en PostgreSQL y separación de lectura/escritura.</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Fuga o compromiso de credenciales de usuario administrador</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CRÍTICO</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Modificación no autorizada de privilegios y apertura de accesos restringidos.</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Activación obligatoria de MFA/2FA, bloqueo tras 5 intentos fallidos, cierre automático por inactividad y registro inmutable en bitácora.</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Falla física en el electroimán o torniquete</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MEDIO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Bloqueo mecánico de la vía de evacuación o acceso.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Configuración 'Fail-Safe' (en ausencia de energía eléctrica el torniquete o electroimán libera el paso automáticamente) conforme a normativas de seguridad humana.</w:t>
            </w:r>
          </w:p>
        </w:tc>
      </w:tr>
    </w:tbl>
    <w:p>
      <w:pPr>
        <w:spacing w:after="80"/>
      </w:pPr>
    </w:p>
    <w:p>
      <w:pPr>
        <w:pStyle w:val="Heading1"/>
        <w:spacing w:before="320" w:after="80"/>
      </w:pPr>
      <w:r>
        <w:rPr>
          <w:rFonts w:ascii="Segoe UI" w:hAnsi="Segoe UI"/>
          <w:b/>
          <w:color w:val="0F172A"/>
          <w:sz w:val="32"/>
        </w:rPr>
        <w:t>11. Conclusiones y Checklist de Próximos Pasos Inmediatos</w:t>
      </w:r>
    </w:p>
    <w:p>
      <w:pPr>
        <w:pBdr>
          <w:bottom w:val="single" w:sz="14" w:space="1" w:color="3730A3"/>
        </w:pBdr>
        <w:spacing w:before="40" w:after="160"/>
      </w:pPr>
    </w:p>
    <w:p>
      <w:pPr>
        <w:spacing w:before="40" w:after="120" w:line="276" w:lineRule="auto"/>
      </w:pPr>
      <w:r>
        <w:rPr>
          <w:rFonts w:ascii="Segoe UI" w:hAnsi="Segoe UI"/>
          <w:color w:val="334155"/>
          <w:sz w:val="19"/>
        </w:rPr>
        <w:t>SentinelPro Access &amp; IAM se encuentra en una posición técnica inmejorable: su lógica de negocio está consolidada, su modelo de autorización es granular y flexible, y las pruebas de calidad demuestran un funcionamiento impecable bajo los escenarios de uso previstos. Siguiendo las recomendaciones detalladas en este plan, el proyecto evolucionará de una aplicación web robusta hacia una plataforma empresarial integral de control de acceso e identidad de nivel internacional.</w:t>
      </w:r>
    </w:p>
    <w:p>
      <w:pPr>
        <w:pStyle w:val="Heading2"/>
        <w:spacing w:before="240" w:after="80"/>
      </w:pPr>
      <w:r>
        <w:rPr>
          <w:rFonts w:ascii="Segoe UI" w:hAnsi="Segoe UI"/>
          <w:b/>
          <w:color w:val="3730A3"/>
          <w:sz w:val="25"/>
        </w:rPr>
        <w:t>Checklist de Acciones Inmediatas (Sprints 1 y 2)</w:t>
      </w:r>
    </w:p>
    <w:p>
      <w:pPr>
        <w:pStyle w:val="ListBullet"/>
        <w:spacing w:before="20" w:after="60"/>
      </w:pPr>
      <w:r>
        <w:rPr>
          <w:rFonts w:ascii="Segoe UI" w:hAnsi="Segoe UI"/>
          <w:b/>
          <w:color w:val="0F172A"/>
          <w:sz w:val="18"/>
        </w:rPr>
        <w:t xml:space="preserve">☑ Validación de Suite QA: </w:t>
      </w:r>
      <w:r>
        <w:rPr>
          <w:rFonts w:ascii="Segoe UI" w:hAnsi="Segoe UI"/>
          <w:color w:val="334155"/>
          <w:sz w:val="18"/>
        </w:rPr>
        <w:t>Completado — Suite ejecutada al 100% con 15/15 casos aprobados.</w:t>
      </w:r>
    </w:p>
    <w:p>
      <w:pPr>
        <w:pStyle w:val="ListBullet"/>
        <w:spacing w:before="20" w:after="60"/>
      </w:pPr>
      <w:r>
        <w:rPr>
          <w:rFonts w:ascii="Segoe UI" w:hAnsi="Segoe UI"/>
          <w:b/>
          <w:color w:val="0F172A"/>
          <w:sz w:val="18"/>
        </w:rPr>
        <w:t xml:space="preserve">☐ Implementación de Dockerfile y docker-compose.yml: </w:t>
      </w:r>
      <w:r>
        <w:rPr>
          <w:rFonts w:ascii="Segoe UI" w:hAnsi="Segoe UI"/>
          <w:color w:val="334155"/>
          <w:sz w:val="18"/>
        </w:rPr>
        <w:t>Empaquetar el sistema para despliegues reproducibles con un solo comando.</w:t>
      </w:r>
    </w:p>
    <w:p>
      <w:pPr>
        <w:pStyle w:val="ListBullet"/>
        <w:spacing w:before="20" w:after="60"/>
      </w:pPr>
      <w:r>
        <w:rPr>
          <w:rFonts w:ascii="Segoe UI" w:hAnsi="Segoe UI"/>
          <w:b/>
          <w:color w:val="0F172A"/>
          <w:sz w:val="18"/>
        </w:rPr>
        <w:t xml:space="preserve">☐ Creación de Pipeline GitHub Actions (.github/workflows/ci.yml): </w:t>
      </w:r>
      <w:r>
        <w:rPr>
          <w:rFonts w:ascii="Segoe UI" w:hAnsi="Segoe UI"/>
          <w:color w:val="334155"/>
          <w:sz w:val="18"/>
        </w:rPr>
        <w:t>Asegurar que cada pull request o commit valide automáticamente los 15 tests.</w:t>
      </w:r>
    </w:p>
    <w:p>
      <w:pPr>
        <w:pStyle w:val="ListBullet"/>
        <w:spacing w:before="20" w:after="60"/>
      </w:pPr>
      <w:r>
        <w:rPr>
          <w:rFonts w:ascii="Segoe UI" w:hAnsi="Segoe UI"/>
          <w:b/>
          <w:color w:val="0F172A"/>
          <w:sz w:val="18"/>
        </w:rPr>
        <w:t xml:space="preserve">☐ Conexión de PostgreSQL con el script existente: </w:t>
      </w:r>
      <w:r>
        <w:rPr>
          <w:rFonts w:ascii="Segoe UI" w:hAnsi="Segoe UI"/>
          <w:color w:val="334155"/>
          <w:sz w:val="18"/>
        </w:rPr>
        <w:t>Migrar los datos iniciales de db.json hacia las tablas relacionales de database/schema.sql.</w:t>
      </w:r>
    </w:p>
    <w:p>
      <w:pPr>
        <w:pStyle w:val="ListBullet"/>
        <w:spacing w:before="20" w:after="60"/>
      </w:pPr>
      <w:r>
        <w:rPr>
          <w:rFonts w:ascii="Segoe UI" w:hAnsi="Segoe UI"/>
          <w:b/>
          <w:color w:val="0F172A"/>
          <w:sz w:val="18"/>
        </w:rPr>
        <w:t xml:space="preserve">☐ Módulo de Códigos QR Dinámicos: </w:t>
      </w:r>
      <w:r>
        <w:rPr>
          <w:rFonts w:ascii="Segoe UI" w:hAnsi="Segoe UI"/>
          <w:color w:val="334155"/>
          <w:sz w:val="18"/>
        </w:rPr>
        <w:t>Integrar generación de QR temporales con refresco cada 30 segundos en el Kiosco y credenciales.</w:t>
      </w:r>
    </w:p>
    <w:sectPr w:rsidR="00FC693F" w:rsidRPr="0006063C" w:rsidSect="00034616">
      <w:headerReference w:type="default" r:id="rId9"/>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SentinelPro Enterprise  |  Plan de Evolución Tecnológica y Roadmap  |  Página </w:t>
    </w:r>
    <w:r>
      <w:rPr>
        <w:color w:val="64748B"/>
        <w:sz w:val="17"/>
      </w:rPr>
      <w:fldChar w:fldCharType="begin"/>
      <w:instrText xml:space="preserve">PAGE</w:instrText>
      <w:fldChar w:fldCharType="separate"/>
      <w:fldChar w:fldCharType="end"/>
    </w:r>
    <w:r>
      <w:rPr>
        <w:color w:val="64748B"/>
        <w:sz w:val="17"/>
      </w:rPr>
      <w:t xml:space="preserve"> de </w:t>
    </w:r>
    <w:r>
      <w:rPr>
        <w:color w:val="64748B"/>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SentinelPro Access &amp; IAM — Plan Estratégico y Recomendaciones de Ingeniería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