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FinX: Rural Empowerment Blueprint</w:t>
      </w:r>
    </w:p>
    <w:p>
      <w:pPr>
        <w:spacing w:after="60"/>
      </w:pPr>
      <w:r>
        <w:rPr>
          <w:i/>
          <w:iCs/>
          <w:color w:val="595959"/>
          <w:sz w:val="24"/>
          <w:szCs w:val="24"/>
        </w:rPr>
        <w:t xml:space="preserve">Version 3.0 — Full Architecture, Market Evidence, Module Specifications &amp; Delivery Plan</w:t>
      </w:r>
    </w:p>
    <w:p>
      <w:pPr>
        <w:spacing w:after="400"/>
      </w:pPr>
      <w:r>
        <w:rPr>
          <w:color w:val="595959"/>
          <w:sz w:val="20"/>
          <w:szCs w:val="20"/>
        </w:rPr>
        <w:t xml:space="preserve">A financial inclusion, government scheme-matching, and agri-tech companion platform for rural households and smallholder farmers</w:t>
      </w:r>
    </w:p>
    <w:p>
      <w:pPr>
        <w:pBdr>
          <w:bottom w:val="single" w:color="CCCCCC" w:sz="6" w:space="1"/>
        </w:pBdr>
        <w:spacing w:after="200"/>
      </w:pPr>
    </w:p>
    <w:p>
      <w:pPr>
        <w:pStyle w:val="Heading1"/>
        <w:spacing w:after="160" w:before="380"/>
      </w:pPr>
      <w:r>
        <w:t xml:space="preserve">Contents</w:t>
      </w:r>
    </w:p>
    <w:p>
      <w:pPr>
        <w:spacing w:after="60"/>
      </w:pPr>
      <w:r>
        <w:rPr>
          <w:sz w:val="21"/>
          <w:szCs w:val="21"/>
        </w:rPr>
        <w:t xml:space="preserve">1. Executive Summary</w:t>
      </w:r>
    </w:p>
    <w:p>
      <w:pPr>
        <w:spacing w:after="60"/>
      </w:pPr>
      <w:r>
        <w:rPr>
          <w:sz w:val="21"/>
          <w:szCs w:val="21"/>
        </w:rPr>
        <w:t xml:space="preserve">2. Why This Matters — Market Context &amp; Evidence</w:t>
      </w:r>
    </w:p>
    <w:p>
      <w:pPr>
        <w:spacing w:after="60"/>
      </w:pPr>
      <w:r>
        <w:rPr>
          <w:sz w:val="21"/>
          <w:szCs w:val="21"/>
        </w:rPr>
        <w:t xml:space="preserve">3. User Personas</w:t>
      </w:r>
    </w:p>
    <w:p>
      <w:pPr>
        <w:spacing w:after="60"/>
      </w:pPr>
      <w:r>
        <w:rPr>
          <w:sz w:val="21"/>
          <w:szCs w:val="21"/>
        </w:rPr>
        <w:t xml:space="preserve">4. Guiding Principles</w:t>
      </w:r>
    </w:p>
    <w:p>
      <w:pPr>
        <w:spacing w:after="60"/>
      </w:pPr>
      <w:r>
        <w:rPr>
          <w:sz w:val="21"/>
          <w:szCs w:val="21"/>
        </w:rPr>
        <w:t xml:space="preserve">5. Phased Roadmap Overview</w:t>
      </w:r>
    </w:p>
    <w:p>
      <w:pPr>
        <w:spacing w:after="60"/>
      </w:pPr>
      <w:r>
        <w:rPr>
          <w:sz w:val="21"/>
          <w:szCs w:val="21"/>
        </w:rPr>
        <w:t xml:space="preserve">6. Phase 1 — MVP Module Specifications</w:t>
      </w:r>
    </w:p>
    <w:p>
      <w:pPr>
        <w:spacing w:after="60"/>
      </w:pPr>
      <w:r>
        <w:rPr>
          <w:sz w:val="21"/>
          <w:szCs w:val="21"/>
        </w:rPr>
        <w:t xml:space="preserve">7. Phase 2 — Growth Module Specifications</w:t>
      </w:r>
    </w:p>
    <w:p>
      <w:pPr>
        <w:spacing w:after="60"/>
      </w:pPr>
      <w:r>
        <w:rPr>
          <w:sz w:val="21"/>
          <w:szCs w:val="21"/>
        </w:rPr>
        <w:t xml:space="preserve">8. Phase 3 — Frontier Module Specifications</w:t>
      </w:r>
    </w:p>
    <w:p>
      <w:pPr>
        <w:spacing w:after="60"/>
      </w:pPr>
      <w:r>
        <w:rPr>
          <w:sz w:val="21"/>
          <w:szCs w:val="21"/>
        </w:rPr>
        <w:t xml:space="preserve">9. Data, Privacy &amp; Trust</w:t>
      </w:r>
    </w:p>
    <w:p>
      <w:pPr>
        <w:spacing w:after="60"/>
      </w:pPr>
      <w:r>
        <w:rPr>
          <w:sz w:val="21"/>
          <w:szCs w:val="21"/>
        </w:rPr>
        <w:t xml:space="preserve">10. Technical Architecture</w:t>
      </w:r>
    </w:p>
    <w:p>
      <w:pPr>
        <w:spacing w:after="60"/>
      </w:pPr>
      <w:r>
        <w:rPr>
          <w:sz w:val="21"/>
          <w:szCs w:val="21"/>
        </w:rPr>
        <w:t xml:space="preserve">11. Team &amp; Resourcing Plan</w:t>
      </w:r>
    </w:p>
    <w:p>
      <w:pPr>
        <w:spacing w:after="60"/>
      </w:pPr>
      <w:r>
        <w:rPr>
          <w:sz w:val="21"/>
          <w:szCs w:val="21"/>
        </w:rPr>
        <w:t xml:space="preserve">12. Success Metrics &amp; Targets</w:t>
      </w:r>
    </w:p>
    <w:p>
      <w:pPr>
        <w:spacing w:after="60"/>
      </w:pPr>
      <w:r>
        <w:rPr>
          <w:sz w:val="21"/>
          <w:szCs w:val="21"/>
        </w:rPr>
        <w:t xml:space="preserve">13. Risk Register</w:t>
      </w:r>
    </w:p>
    <w:p>
      <w:pPr>
        <w:spacing w:after="60"/>
      </w:pPr>
      <w:r>
        <w:rPr>
          <w:sz w:val="21"/>
          <w:szCs w:val="21"/>
        </w:rPr>
        <w:t xml:space="preserve">14. Pilot Plan &amp; Timeline</w:t>
      </w:r>
    </w:p>
    <w:p>
      <w:pPr>
        <w:spacing w:after="60"/>
      </w:pPr>
      <w:r>
        <w:rPr>
          <w:sz w:val="21"/>
          <w:szCs w:val="21"/>
        </w:rPr>
        <w:t xml:space="preserve">15. Appendix — Sample Data Schema &amp; Matching Logic</w:t>
      </w:r>
    </w:p>
    <w:p>
      <w:r>
        <w:br w:type="page"/>
      </w:r>
    </w:p>
    <w:p>
      <w:pPr>
        <w:pStyle w:val="Heading1"/>
        <w:spacing w:after="160" w:before="380"/>
      </w:pPr>
      <w:r>
        <w:t xml:space="preserve">1. Executive Summary</w:t>
      </w:r>
    </w:p>
    <w:p>
      <w:pPr>
        <w:spacing w:after="140"/>
      </w:pPr>
      <w:r>
        <w:rPr>
          <w:sz w:val="21"/>
          <w:szCs w:val="21"/>
        </w:rPr>
        <w:t xml:space="preserve">FinX extends the existing Financial Doctor platform — deterministic portfolio risk scoring, a source-grounded AI copilot, and a scam detector — into a companion product for rural households and smallholder farmers, whose financial lives look nothing like a retail stock portfolio. Instead of holdings and mutual funds, the assets are land, livestock, and crop cycles; instead of market volatility, the risk is a delayed monsoon, a health emergency, or a fake government-scheme agent.</w:t>
      </w:r>
    </w:p>
    <w:p>
      <w:pPr>
        <w:spacing w:after="140"/>
      </w:pPr>
      <w:r>
        <w:rPr>
          <w:sz w:val="21"/>
          <w:szCs w:val="21"/>
        </w:rPr>
        <w:t xml:space="preserve">This blueprint restructures the original ten-module concept into a build sequence that a small team can actually execute: five software-only modules that ship in the first six months, four modules that need light external partnerships, and five "frontier" modules that depend on domain-expert partners, health authorities, or hardware vendors and should be pursued as integrations rather than built from scratch.</w:t>
      </w:r>
    </w:p>
    <w:p>
      <w:pPr>
        <w:spacing w:after="140"/>
      </w:pPr>
      <w:r>
        <w:rPr>
          <w:sz w:val="21"/>
          <w:szCs w:val="21"/>
        </w:rPr>
        <w:t xml:space="preserve">Every module below is specified with its core features, a step-by-step user flow, the data or partnerships it depends on, a measurable success metric, and a feasibility note — so this document can be handed directly to an engineering and product team as a working brief, not just a vision statement.</w:t>
      </w:r>
    </w:p>
    <w:p>
      <w:pPr>
        <w:pStyle w:val="Heading1"/>
        <w:spacing w:after="160" w:before="380"/>
      </w:pPr>
      <w:r>
        <w:t xml:space="preserve">2. Why This Matters — Market Context &amp; Evidence</w:t>
      </w:r>
    </w:p>
    <w:p>
      <w:pPr>
        <w:spacing w:after="140"/>
      </w:pPr>
      <w:r>
        <w:rPr>
          <w:sz w:val="21"/>
          <w:szCs w:val="21"/>
        </w:rPr>
        <w:t xml:space="preserve">India's rural financial picture, drawn from NABARD's All-India Rural Financial Inclusion Survey (NAFIS 2021-22, ~1 lakh households surveyed), shows both real progress and the specific gaps FinX is positioned to close: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200"/>
      </w:tblGrid>
      <w:tr>
        <w:trPr>
          <w:tblHeader/>
        </w:trPr>
        <w:tc>
          <w:tcPr>
            <w:tcW w:type="dxa" w:w="3000"/>
            <w:shd w:fill="1F3A5F" w:val="clear"/>
            <w:tcMar>
              <w:top w:type="dxa" w:w="80"/>
              <w:left w:type="dxa" w:w="100"/>
              <w:bottom w:type="dxa" w:w="80"/>
              <w:right w:type="dxa" w:w="100"/>
            </w:tcMar>
          </w:tcPr>
          <w:p>
            <w:r>
              <w:rPr>
                <w:b/>
                <w:bCs/>
                <w:color w:val="FFFFFF"/>
                <w:sz w:val="19"/>
                <w:szCs w:val="19"/>
              </w:rPr>
              <w:t xml:space="preserve">Indicator</w:t>
            </w:r>
          </w:p>
        </w:tc>
        <w:tc>
          <w:tcPr>
            <w:tcW w:type="dxa" w:w="1600"/>
            <w:shd w:fill="1F3A5F" w:val="clear"/>
            <w:tcMar>
              <w:top w:type="dxa" w:w="80"/>
              <w:left w:type="dxa" w:w="100"/>
              <w:bottom w:type="dxa" w:w="80"/>
              <w:right w:type="dxa" w:w="100"/>
            </w:tcMar>
          </w:tcPr>
          <w:p>
            <w:r>
              <w:rPr>
                <w:b/>
                <w:bCs/>
                <w:color w:val="FFFFFF"/>
                <w:sz w:val="19"/>
                <w:szCs w:val="19"/>
              </w:rPr>
              <w:t xml:space="preserve">2016-17</w:t>
            </w:r>
          </w:p>
        </w:tc>
        <w:tc>
          <w:tcPr>
            <w:tcW w:type="dxa" w:w="1600"/>
            <w:shd w:fill="1F3A5F" w:val="clear"/>
            <w:tcMar>
              <w:top w:type="dxa" w:w="80"/>
              <w:left w:type="dxa" w:w="100"/>
              <w:bottom w:type="dxa" w:w="80"/>
              <w:right w:type="dxa" w:w="100"/>
            </w:tcMar>
          </w:tcPr>
          <w:p>
            <w:r>
              <w:rPr>
                <w:b/>
                <w:bCs/>
                <w:color w:val="FFFFFF"/>
                <w:sz w:val="19"/>
                <w:szCs w:val="19"/>
              </w:rPr>
              <w:t xml:space="preserve">2021-22</w:t>
            </w:r>
          </w:p>
        </w:tc>
        <w:tc>
          <w:tcPr>
            <w:tcW w:type="dxa" w:w="3200"/>
            <w:shd w:fill="1F3A5F" w:val="clear"/>
            <w:tcMar>
              <w:top w:type="dxa" w:w="80"/>
              <w:left w:type="dxa" w:w="100"/>
              <w:bottom w:type="dxa" w:w="80"/>
              <w:right w:type="dxa" w:w="100"/>
            </w:tcMar>
          </w:tcPr>
          <w:p>
            <w:r>
              <w:rPr>
                <w:b/>
                <w:bCs/>
                <w:color w:val="FFFFFF"/>
                <w:sz w:val="19"/>
                <w:szCs w:val="19"/>
              </w:rPr>
              <w:t xml:space="preserve">What it signals</w:t>
            </w:r>
          </w:p>
        </w:tc>
      </w:tr>
      <w:tr>
        <w:tc>
          <w:tcPr>
            <w:tcW w:type="dxa" w:w="3000"/>
            <w:shd w:fill="F5F7F5" w:val="clear"/>
            <w:tcMar>
              <w:top w:type="dxa" w:w="70"/>
              <w:left w:type="dxa" w:w="100"/>
              <w:bottom w:type="dxa" w:w="70"/>
              <w:right w:type="dxa" w:w="100"/>
            </w:tcMar>
          </w:tcPr>
          <w:p>
            <w:pPr>
              <w:spacing w:after="40"/>
            </w:pPr>
            <w:r>
              <w:rPr>
                <w:sz w:val="19"/>
                <w:szCs w:val="19"/>
              </w:rPr>
              <w:t xml:space="preserve">Households with outstanding debt</w:t>
            </w:r>
          </w:p>
        </w:tc>
        <w:tc>
          <w:tcPr>
            <w:tcW w:type="dxa" w:w="1600"/>
            <w:shd w:fill="F5F7F5" w:val="clear"/>
            <w:tcMar>
              <w:top w:type="dxa" w:w="70"/>
              <w:left w:type="dxa" w:w="100"/>
              <w:bottom w:type="dxa" w:w="70"/>
              <w:right w:type="dxa" w:w="100"/>
            </w:tcMar>
          </w:tcPr>
          <w:p>
            <w:pPr>
              <w:spacing w:after="40"/>
            </w:pPr>
            <w:r>
              <w:rPr>
                <w:sz w:val="19"/>
                <w:szCs w:val="19"/>
              </w:rPr>
              <w:t xml:space="preserve">47.4%</w:t>
            </w:r>
          </w:p>
        </w:tc>
        <w:tc>
          <w:tcPr>
            <w:tcW w:type="dxa" w:w="1600"/>
            <w:shd w:fill="F5F7F5" w:val="clear"/>
            <w:tcMar>
              <w:top w:type="dxa" w:w="70"/>
              <w:left w:type="dxa" w:w="100"/>
              <w:bottom w:type="dxa" w:w="70"/>
              <w:right w:type="dxa" w:w="100"/>
            </w:tcMar>
          </w:tcPr>
          <w:p>
            <w:pPr>
              <w:spacing w:after="40"/>
            </w:pPr>
            <w:r>
              <w:rPr>
                <w:sz w:val="19"/>
                <w:szCs w:val="19"/>
              </w:rPr>
              <w:t xml:space="preserve">52.0%</w:t>
            </w:r>
          </w:p>
        </w:tc>
        <w:tc>
          <w:tcPr>
            <w:tcW w:type="dxa" w:w="3200"/>
            <w:shd w:fill="F5F7F5" w:val="clear"/>
            <w:tcMar>
              <w:top w:type="dxa" w:w="70"/>
              <w:left w:type="dxa" w:w="100"/>
              <w:bottom w:type="dxa" w:w="70"/>
              <w:right w:type="dxa" w:w="100"/>
            </w:tcMar>
          </w:tcPr>
          <w:p>
            <w:pPr>
              <w:spacing w:after="40"/>
            </w:pPr>
            <w:r>
              <w:rPr>
                <w:sz w:val="19"/>
                <w:szCs w:val="19"/>
              </w:rPr>
              <w:t xml:space="preserve">Debt burden is rising, not falling, even as formal inclusion improves</w:t>
            </w:r>
          </w:p>
        </w:tc>
      </w:tr>
      <w:tr>
        <w:tc>
          <w:tcPr>
            <w:tcW w:type="dxa" w:w="3000"/>
            <w:shd w:fill="FFFFFF" w:val="clear"/>
            <w:tcMar>
              <w:top w:type="dxa" w:w="70"/>
              <w:left w:type="dxa" w:w="100"/>
              <w:bottom w:type="dxa" w:w="70"/>
              <w:right w:type="dxa" w:w="100"/>
            </w:tcMar>
          </w:tcPr>
          <w:p>
            <w:pPr>
              <w:spacing w:after="40"/>
            </w:pPr>
            <w:r>
              <w:rPr>
                <w:sz w:val="19"/>
                <w:szCs w:val="19"/>
              </w:rPr>
              <w:t xml:space="preserve">Agricultural households borrowing only from institutional sources</w:t>
            </w:r>
          </w:p>
        </w:tc>
        <w:tc>
          <w:tcPr>
            <w:tcW w:type="dxa" w:w="1600"/>
            <w:shd w:fill="FFFFFF" w:val="clear"/>
            <w:tcMar>
              <w:top w:type="dxa" w:w="70"/>
              <w:left w:type="dxa" w:w="100"/>
              <w:bottom w:type="dxa" w:w="70"/>
              <w:right w:type="dxa" w:w="100"/>
            </w:tcMar>
          </w:tcPr>
          <w:p>
            <w:pPr>
              <w:spacing w:after="40"/>
            </w:pPr>
            <w:r>
              <w:rPr>
                <w:sz w:val="19"/>
                <w:szCs w:val="19"/>
              </w:rPr>
              <w:t xml:space="preserve">60.5%</w:t>
            </w:r>
          </w:p>
        </w:tc>
        <w:tc>
          <w:tcPr>
            <w:tcW w:type="dxa" w:w="1600"/>
            <w:shd w:fill="FFFFFF" w:val="clear"/>
            <w:tcMar>
              <w:top w:type="dxa" w:w="70"/>
              <w:left w:type="dxa" w:w="100"/>
              <w:bottom w:type="dxa" w:w="70"/>
              <w:right w:type="dxa" w:w="100"/>
            </w:tcMar>
          </w:tcPr>
          <w:p>
            <w:pPr>
              <w:spacing w:after="40"/>
            </w:pPr>
            <w:r>
              <w:rPr>
                <w:sz w:val="19"/>
                <w:szCs w:val="19"/>
              </w:rPr>
              <w:t xml:space="preserve">75.5%</w:t>
            </w:r>
          </w:p>
        </w:tc>
        <w:tc>
          <w:tcPr>
            <w:tcW w:type="dxa" w:w="3200"/>
            <w:shd w:fill="FFFFFF" w:val="clear"/>
            <w:tcMar>
              <w:top w:type="dxa" w:w="70"/>
              <w:left w:type="dxa" w:w="100"/>
              <w:bottom w:type="dxa" w:w="70"/>
              <w:right w:type="dxa" w:w="100"/>
            </w:tcMar>
          </w:tcPr>
          <w:p>
            <w:pPr>
              <w:spacing w:after="40"/>
            </w:pPr>
            <w:r>
              <w:rPr>
                <w:sz w:val="19"/>
                <w:szCs w:val="19"/>
              </w:rPr>
              <w:t xml:space="preserve">Formal credit access is growing — but roughly a quarter still rely partly on informal, high-cost lenders</w:t>
            </w:r>
          </w:p>
        </w:tc>
      </w:tr>
      <w:tr>
        <w:tc>
          <w:tcPr>
            <w:tcW w:type="dxa" w:w="3000"/>
            <w:shd w:fill="F5F7F5" w:val="clear"/>
            <w:tcMar>
              <w:top w:type="dxa" w:w="70"/>
              <w:left w:type="dxa" w:w="100"/>
              <w:bottom w:type="dxa" w:w="70"/>
              <w:right w:type="dxa" w:w="100"/>
            </w:tcMar>
          </w:tcPr>
          <w:p>
            <w:pPr>
              <w:spacing w:after="40"/>
            </w:pPr>
            <w:r>
              <w:rPr>
                <w:sz w:val="19"/>
                <w:szCs w:val="19"/>
              </w:rPr>
              <w:t xml:space="preserve">Households with any insurance coverage</w:t>
            </w:r>
          </w:p>
        </w:tc>
        <w:tc>
          <w:tcPr>
            <w:tcW w:type="dxa" w:w="1600"/>
            <w:shd w:fill="F5F7F5" w:val="clear"/>
            <w:tcMar>
              <w:top w:type="dxa" w:w="70"/>
              <w:left w:type="dxa" w:w="100"/>
              <w:bottom w:type="dxa" w:w="70"/>
              <w:right w:type="dxa" w:w="100"/>
            </w:tcMar>
          </w:tcPr>
          <w:p>
            <w:pPr>
              <w:spacing w:after="40"/>
            </w:pPr>
            <w:r>
              <w:rPr>
                <w:sz w:val="19"/>
                <w:szCs w:val="19"/>
              </w:rPr>
              <w:t xml:space="preserve">25.5%</w:t>
            </w:r>
          </w:p>
        </w:tc>
        <w:tc>
          <w:tcPr>
            <w:tcW w:type="dxa" w:w="1600"/>
            <w:shd w:fill="F5F7F5" w:val="clear"/>
            <w:tcMar>
              <w:top w:type="dxa" w:w="70"/>
              <w:left w:type="dxa" w:w="100"/>
              <w:bottom w:type="dxa" w:w="70"/>
              <w:right w:type="dxa" w:w="100"/>
            </w:tcMar>
          </w:tcPr>
          <w:p>
            <w:pPr>
              <w:spacing w:after="40"/>
            </w:pPr>
            <w:r>
              <w:rPr>
                <w:sz w:val="19"/>
                <w:szCs w:val="19"/>
              </w:rPr>
              <w:t xml:space="preserve">80.3%</w:t>
            </w:r>
          </w:p>
        </w:tc>
        <w:tc>
          <w:tcPr>
            <w:tcW w:type="dxa" w:w="3200"/>
            <w:shd w:fill="F5F7F5" w:val="clear"/>
            <w:tcMar>
              <w:top w:type="dxa" w:w="70"/>
              <w:left w:type="dxa" w:w="100"/>
              <w:bottom w:type="dxa" w:w="70"/>
              <w:right w:type="dxa" w:w="100"/>
            </w:tcMar>
          </w:tcPr>
          <w:p>
            <w:pPr>
              <w:spacing w:after="40"/>
            </w:pPr>
            <w:r>
              <w:rPr>
                <w:sz w:val="19"/>
                <w:szCs w:val="19"/>
              </w:rPr>
              <w:t xml:space="preserve">Insurance penetration has surged, but product literacy has likely not kept pace</w:t>
            </w:r>
          </w:p>
        </w:tc>
      </w:tr>
      <w:tr>
        <w:tc>
          <w:tcPr>
            <w:tcW w:type="dxa" w:w="3000"/>
            <w:shd w:fill="FFFFFF" w:val="clear"/>
            <w:tcMar>
              <w:top w:type="dxa" w:w="70"/>
              <w:left w:type="dxa" w:w="100"/>
              <w:bottom w:type="dxa" w:w="70"/>
              <w:right w:type="dxa" w:w="100"/>
            </w:tcMar>
          </w:tcPr>
          <w:p>
            <w:pPr>
              <w:spacing w:after="40"/>
            </w:pPr>
            <w:r>
              <w:rPr>
                <w:sz w:val="19"/>
                <w:szCs w:val="19"/>
              </w:rPr>
              <w:t xml:space="preserve">Average landholding size</w:t>
            </w:r>
          </w:p>
        </w:tc>
        <w:tc>
          <w:tcPr>
            <w:tcW w:type="dxa" w:w="1600"/>
            <w:shd w:fill="FFFFFF" w:val="clear"/>
            <w:tcMar>
              <w:top w:type="dxa" w:w="70"/>
              <w:left w:type="dxa" w:w="100"/>
              <w:bottom w:type="dxa" w:w="70"/>
              <w:right w:type="dxa" w:w="100"/>
            </w:tcMar>
          </w:tcPr>
          <w:p>
            <w:pPr>
              <w:spacing w:after="40"/>
            </w:pPr>
            <w:r>
              <w:rPr>
                <w:sz w:val="19"/>
                <w:szCs w:val="19"/>
              </w:rPr>
              <w:t xml:space="preserve">1.08 hectares</w:t>
            </w:r>
          </w:p>
        </w:tc>
        <w:tc>
          <w:tcPr>
            <w:tcW w:type="dxa" w:w="1600"/>
            <w:shd w:fill="FFFFFF" w:val="clear"/>
            <w:tcMar>
              <w:top w:type="dxa" w:w="70"/>
              <w:left w:type="dxa" w:w="100"/>
              <w:bottom w:type="dxa" w:w="70"/>
              <w:right w:type="dxa" w:w="100"/>
            </w:tcMar>
          </w:tcPr>
          <w:p>
            <w:pPr>
              <w:spacing w:after="40"/>
            </w:pPr>
            <w:r>
              <w:rPr>
                <w:sz w:val="19"/>
                <w:szCs w:val="19"/>
              </w:rPr>
              <w:t xml:space="preserve">0.74 hectares</w:t>
            </w:r>
          </w:p>
        </w:tc>
        <w:tc>
          <w:tcPr>
            <w:tcW w:type="dxa" w:w="3200"/>
            <w:shd w:fill="FFFFFF" w:val="clear"/>
            <w:tcMar>
              <w:top w:type="dxa" w:w="70"/>
              <w:left w:type="dxa" w:w="100"/>
              <w:bottom w:type="dxa" w:w="70"/>
              <w:right w:type="dxa" w:w="100"/>
            </w:tcMar>
          </w:tcPr>
          <w:p>
            <w:pPr>
              <w:spacing w:after="40"/>
            </w:pPr>
            <w:r>
              <w:rPr>
                <w:sz w:val="19"/>
                <w:szCs w:val="19"/>
              </w:rPr>
              <w:t xml:space="preserve">Landholdings are fragmenting — the smallholder segment FinX targets is growing, not shrinking</w:t>
            </w:r>
          </w:p>
        </w:tc>
      </w:tr>
      <w:tr>
        <w:tc>
          <w:tcPr>
            <w:tcW w:type="dxa" w:w="3000"/>
            <w:shd w:fill="F5F7F5" w:val="clear"/>
            <w:tcMar>
              <w:top w:type="dxa" w:w="70"/>
              <w:left w:type="dxa" w:w="100"/>
              <w:bottom w:type="dxa" w:w="70"/>
              <w:right w:type="dxa" w:w="100"/>
            </w:tcMar>
          </w:tcPr>
          <w:p>
            <w:pPr>
              <w:spacing w:after="40"/>
            </w:pPr>
            <w:r>
              <w:rPr>
                <w:sz w:val="19"/>
                <w:szCs w:val="19"/>
              </w:rPr>
              <w:t xml:space="preserve">Households reporting good financial literacy</w:t>
            </w:r>
          </w:p>
        </w:tc>
        <w:tc>
          <w:tcPr>
            <w:tcW w:type="dxa" w:w="1600"/>
            <w:shd w:fill="F5F7F5" w:val="clear"/>
            <w:tcMar>
              <w:top w:type="dxa" w:w="70"/>
              <w:left w:type="dxa" w:w="100"/>
              <w:bottom w:type="dxa" w:w="70"/>
              <w:right w:type="dxa" w:w="100"/>
            </w:tcMar>
          </w:tcPr>
          <w:p>
            <w:pPr>
              <w:spacing w:after="40"/>
            </w:pPr>
            <w:r>
              <w:rPr>
                <w:sz w:val="19"/>
                <w:szCs w:val="19"/>
              </w:rPr>
              <w:t xml:space="preserve">33.9%</w:t>
            </w:r>
          </w:p>
        </w:tc>
        <w:tc>
          <w:tcPr>
            <w:tcW w:type="dxa" w:w="1600"/>
            <w:shd w:fill="F5F7F5" w:val="clear"/>
            <w:tcMar>
              <w:top w:type="dxa" w:w="70"/>
              <w:left w:type="dxa" w:w="100"/>
              <w:bottom w:type="dxa" w:w="70"/>
              <w:right w:type="dxa" w:w="100"/>
            </w:tcMar>
          </w:tcPr>
          <w:p>
            <w:pPr>
              <w:spacing w:after="40"/>
            </w:pPr>
            <w:r>
              <w:rPr>
                <w:sz w:val="19"/>
                <w:szCs w:val="19"/>
              </w:rPr>
              <w:t xml:space="preserve">51.3%</w:t>
            </w:r>
          </w:p>
        </w:tc>
        <w:tc>
          <w:tcPr>
            <w:tcW w:type="dxa" w:w="3200"/>
            <w:shd w:fill="F5F7F5" w:val="clear"/>
            <w:tcMar>
              <w:top w:type="dxa" w:w="70"/>
              <w:left w:type="dxa" w:w="100"/>
              <w:bottom w:type="dxa" w:w="70"/>
              <w:right w:type="dxa" w:w="100"/>
            </w:tcMar>
          </w:tcPr>
          <w:p>
            <w:pPr>
              <w:spacing w:after="40"/>
            </w:pPr>
            <w:r>
              <w:rPr>
                <w:sz w:val="19"/>
                <w:szCs w:val="19"/>
              </w:rPr>
              <w:t xml:space="preserve">Improving, but roughly half of rural households still report low financial literacy</w:t>
            </w:r>
          </w:p>
        </w:tc>
      </w:tr>
    </w:tbl>
    <w:p>
      <w:pPr>
        <w:spacing w:after="140"/>
      </w:pPr>
      <w:r>
        <w:rPr>
          <w:sz w:val="21"/>
          <w:szCs w:val="21"/>
        </w:rPr>
        <w:t xml:space="preserve">Two additional data points from the same survey cycle sharpen the case for specific FinX modules:</w:t>
      </w:r>
    </w:p>
    <w:p>
      <w:pPr>
        <w:pStyle w:val="ListParagraph"/>
        <w:numPr>
          <w:ilvl w:val="0"/>
          <w:numId w:val="1"/>
        </w:numPr>
        <w:spacing w:after="80"/>
      </w:pPr>
      <w:r>
        <w:t xml:space="preserve">Kisan Credit Card penetration stands at 44% of agricultural households overall, rising to 77% among households that had already taken a bank loan — indicating that awareness and application friction, not eligibility, is the main barrier to wider KCC adoption. This directly supports the Scheme Eligibility Engine's document-generation feature.</w:t>
      </w:r>
    </w:p>
    <w:p>
      <w:pPr>
        <w:pStyle w:val="ListParagraph"/>
        <w:numPr>
          <w:ilvl w:val="0"/>
          <w:numId w:val="1"/>
        </w:numPr>
        <w:spacing w:after="80"/>
      </w:pPr>
      <w:r>
        <w:t xml:space="preserve">Average outstanding debt for an agricultural household has been estimated at close to seven times average monthly income in recent analysis of the survey data — meaning a single bad season or health emergency can trap a household in multi-year repayment. This is the core justification for the Hyper-Local Economics and Debt Comparison modules.</w:t>
      </w:r>
    </w:p>
    <w:p>
      <w:pPr>
        <w:spacing w:after="200"/>
      </w:pPr>
      <w:r>
        <w:rPr>
          <w:i/>
          <w:iCs/>
          <w:color w:val="595959"/>
          <w:sz w:val="19"/>
          <w:szCs w:val="19"/>
        </w:rPr>
        <w:t xml:space="preserve">Source: NABARD All India Rural Financial Inclusion Survey (NAFIS) 2021-22, and public commentary on its release. Figures are survey estimates and should be re-verified against the latest NABARD release before being used in any external-facing FinX materials.</w:t>
      </w:r>
    </w:p>
    <w:p>
      <w:r>
        <w:br w:type="page"/>
      </w:r>
    </w:p>
    <w:p>
      <w:pPr>
        <w:pStyle w:val="Heading1"/>
        <w:spacing w:after="160" w:before="380"/>
      </w:pPr>
      <w:r>
        <w:t xml:space="preserve">3. User Personas</w:t>
      </w:r>
    </w:p>
    <w:p>
      <w:pPr>
        <w:spacing w:after="140"/>
      </w:pPr>
      <w:r>
        <w:rPr>
          <w:sz w:val="21"/>
          <w:szCs w:val="21"/>
        </w:rPr>
        <w:t xml:space="preserve">Designing one interface for "rural users" tends to under-serve everyone. Three personas anchor the module specifications that follow:</w:t>
      </w:r>
    </w:p>
    <w:p>
      <w:pPr>
        <w:spacing w:after="90" w:before="220"/>
      </w:pPr>
      <w:r>
        <w:rPr>
          <w:b/>
          <w:bCs/>
          <w:color w:val="1F3A5F"/>
          <w:sz w:val="24"/>
          <w:szCs w:val="24"/>
        </w:rPr>
        <w:t xml:space="preserve">Persona 1 — Murugan, 42, Smallholder Farmer (Krishnagiri)</w:t>
      </w:r>
    </w:p>
    <w:p>
      <w:pPr>
        <w:pStyle w:val="ListParagraph"/>
        <w:numPr>
          <w:ilvl w:val="0"/>
          <w:numId w:val="1"/>
        </w:numPr>
        <w:spacing w:after="80"/>
      </w:pPr>
      <w:r>
        <w:t xml:space="preserve">Owns 0.8 hectares, grows mango and ragi, holds a KCC loan and one informal loan from a local lender for a medical expense last year.</w:t>
      </w:r>
    </w:p>
    <w:p>
      <w:pPr>
        <w:pStyle w:val="ListParagraph"/>
        <w:numPr>
          <w:ilvl w:val="0"/>
          <w:numId w:val="1"/>
        </w:numPr>
        <w:spacing w:after="80"/>
      </w:pPr>
      <w:r>
        <w:t xml:space="preserve">Owns a basic Android smartphone, shares it with his household, uses WhatsApp daily but rarely browses unfamiliar apps or websites.</w:t>
      </w:r>
    </w:p>
    <w:p>
      <w:pPr>
        <w:pStyle w:val="ListParagraph"/>
        <w:numPr>
          <w:ilvl w:val="0"/>
          <w:numId w:val="1"/>
        </w:numPr>
        <w:spacing w:after="80"/>
      </w:pPr>
      <w:r>
        <w:t xml:space="preserve">Primary needs: knowing the right time to sell his mango harvest, understanding whether a new "guaranteed return" scheme forwarded to him on WhatsApp is real, and figuring out if he qualifies for a subsidy he hasn't heard of.</w:t>
      </w:r>
    </w:p>
    <w:p>
      <w:pPr>
        <w:spacing w:after="90" w:before="220"/>
      </w:pPr>
      <w:r>
        <w:rPr>
          <w:b/>
          <w:bCs/>
          <w:color w:val="1F3A5F"/>
          <w:sz w:val="24"/>
          <w:szCs w:val="24"/>
        </w:rPr>
        <w:t xml:space="preserve">Persona 2 — Kalaivani, 35, SHG Member &amp; Homemaker (Salem)</w:t>
      </w:r>
    </w:p>
    <w:p>
      <w:pPr>
        <w:pStyle w:val="ListParagraph"/>
        <w:numPr>
          <w:ilvl w:val="0"/>
          <w:numId w:val="1"/>
        </w:numPr>
        <w:spacing w:after="80"/>
      </w:pPr>
      <w:r>
        <w:t xml:space="preserve">Manages household savings and is the treasurer for her 8-member Self-Help Group, tracking contributions and rotating credit on paper.</w:t>
      </w:r>
    </w:p>
    <w:p>
      <w:pPr>
        <w:pStyle w:val="ListParagraph"/>
        <w:numPr>
          <w:ilvl w:val="0"/>
          <w:numId w:val="1"/>
        </w:numPr>
        <w:spacing w:after="80"/>
      </w:pPr>
      <w:r>
        <w:t xml:space="preserve">Comfortable with basic smartphone use but not with English-heavy financial jargon; prefers voice notes over typing where possible.</w:t>
      </w:r>
    </w:p>
    <w:p>
      <w:pPr>
        <w:pStyle w:val="ListParagraph"/>
        <w:numPr>
          <w:ilvl w:val="0"/>
          <w:numId w:val="1"/>
        </w:numPr>
        <w:spacing w:after="80"/>
      </w:pPr>
      <w:r>
        <w:t xml:space="preserve">Primary needs: a simpler way to track group savings and loan rotation than a notebook, and early warning before a member falls behind on repayment.</w:t>
      </w:r>
    </w:p>
    <w:p>
      <w:pPr>
        <w:spacing w:after="90" w:before="220"/>
      </w:pPr>
      <w:r>
        <w:rPr>
          <w:b/>
          <w:bCs/>
          <w:color w:val="1F3A5F"/>
          <w:sz w:val="24"/>
          <w:szCs w:val="24"/>
        </w:rPr>
        <w:t xml:space="preserve">Persona 3 — Arun, 22, Rural Youth (Krishnagiri, Murugan's son)</w:t>
      </w:r>
    </w:p>
    <w:p>
      <w:pPr>
        <w:pStyle w:val="ListParagraph"/>
        <w:numPr>
          <w:ilvl w:val="0"/>
          <w:numId w:val="1"/>
        </w:numPr>
        <w:spacing w:after="80"/>
      </w:pPr>
      <w:r>
        <w:t xml:space="preserve">Finished a diploma, has basic computer literacy, wants income beyond the family farm but has limited access to formal job networks.</w:t>
      </w:r>
    </w:p>
    <w:p>
      <w:pPr>
        <w:pStyle w:val="ListParagraph"/>
        <w:numPr>
          <w:ilvl w:val="0"/>
          <w:numId w:val="1"/>
        </w:numPr>
        <w:spacing w:after="80"/>
      </w:pPr>
      <w:r>
        <w:t xml:space="preserve">Primary needs: visibility into remote or local upskilling and internship opportunities; secondary interest in helping his father navigate the FinX app itself.</w:t>
      </w:r>
    </w:p>
    <w:p>
      <w:pPr>
        <w:spacing w:after="140"/>
      </w:pPr>
      <w:r>
        <w:rPr>
          <w:sz w:val="21"/>
          <w:szCs w:val="21"/>
        </w:rPr>
        <w:t xml:space="preserve">Design implication: Arun is often the actual first point of contact with a digital product inside a household like Murugan's — the onboarding flow should be usable by a literate younger family member on behalf of an older primary user, without assuming the primary user will self-onboard.</w:t>
      </w:r>
    </w:p>
    <w:p>
      <w:r>
        <w:br w:type="page"/>
      </w:r>
    </w:p>
    <w:p>
      <w:pPr>
        <w:pStyle w:val="Heading1"/>
        <w:spacing w:after="160" w:before="380"/>
      </w:pPr>
      <w:r>
        <w:t xml:space="preserve">4. Guiding Principles</w:t>
      </w:r>
    </w:p>
    <w:p>
      <w:pPr>
        <w:spacing w:after="140"/>
      </w:pPr>
      <w:r>
        <w:rPr>
          <w:sz w:val="21"/>
          <w:szCs w:val="21"/>
        </w:rPr>
        <w:t xml:space="preserve">Four principles run through every module in this document and should be used to evaluate any future addition to FinX:</w:t>
      </w:r>
    </w:p>
    <w:p>
      <w:pPr>
        <w:spacing w:after="90" w:before="220"/>
      </w:pPr>
      <w:r>
        <w:rPr>
          <w:b/>
          <w:bCs/>
          <w:color w:val="1F3A5F"/>
          <w:sz w:val="24"/>
          <w:szCs w:val="24"/>
        </w:rPr>
        <w:t xml:space="preserve">1. Earn trust before asking for data</w:t>
      </w:r>
    </w:p>
    <w:p>
      <w:pPr>
        <w:spacing w:after="140"/>
      </w:pPr>
      <w:r>
        <w:rPr>
          <w:sz w:val="21"/>
          <w:szCs w:val="21"/>
        </w:rPr>
        <w:t xml:space="preserve">Rural users, especially those already burned by predatory lenders or scheme middlemen, will not hand over income or land details to an unfamiliar app. Every module should work in a reduced, useful form before requiring full disclosure.</w:t>
      </w:r>
    </w:p>
    <w:p>
      <w:pPr>
        <w:spacing w:after="90" w:before="220"/>
      </w:pPr>
      <w:r>
        <w:rPr>
          <w:b/>
          <w:bCs/>
          <w:color w:val="1F3A5F"/>
          <w:sz w:val="24"/>
          <w:szCs w:val="24"/>
        </w:rPr>
        <w:t xml:space="preserve">2. Partner for anything outside financial software</w:t>
      </w:r>
    </w:p>
    <w:p>
      <w:pPr>
        <w:spacing w:after="140"/>
      </w:pPr>
      <w:r>
        <w:rPr>
          <w:sz w:val="21"/>
          <w:szCs w:val="21"/>
        </w:rPr>
        <w:t xml:space="preserve">Health alerts, soil science, robotics, and groundwater data all require domain expertise, regulatory clearance, and hardware FinX does not have. The right move is integration partnerships (ICAR institutes, state agri-universities, NGOs, ASHA/health-worker networks) rather than building these capabilities from zero.</w:t>
      </w:r>
    </w:p>
    <w:p>
      <w:pPr>
        <w:spacing w:after="90" w:before="220"/>
      </w:pPr>
      <w:r>
        <w:rPr>
          <w:b/>
          <w:bCs/>
          <w:color w:val="1F3A5F"/>
          <w:sz w:val="24"/>
          <w:szCs w:val="24"/>
        </w:rPr>
        <w:t xml:space="preserve">3. Design for the weakest connection and the lowest device</w:t>
      </w:r>
    </w:p>
    <w:p>
      <w:pPr>
        <w:spacing w:after="140"/>
      </w:pPr>
      <w:r>
        <w:rPr>
          <w:sz w:val="21"/>
          <w:szCs w:val="21"/>
        </w:rPr>
        <w:t xml:space="preserve">Offline-first is not a feature, it is a requirement. Every module must degrade gracefully on a 2G connection and a sub-₹8,000 Android phone.</w:t>
      </w:r>
    </w:p>
    <w:p>
      <w:pPr>
        <w:spacing w:after="90" w:before="220"/>
      </w:pPr>
      <w:r>
        <w:rPr>
          <w:b/>
          <w:bCs/>
          <w:color w:val="1F3A5F"/>
          <w:sz w:val="24"/>
          <w:szCs w:val="24"/>
        </w:rPr>
        <w:t xml:space="preserve">4. Never let AI replace a licensed human where regulation requires one</w:t>
      </w:r>
    </w:p>
    <w:p>
      <w:pPr>
        <w:spacing w:after="140"/>
      </w:pPr>
      <w:r>
        <w:rPr>
          <w:sz w:val="21"/>
          <w:szCs w:val="21"/>
        </w:rPr>
        <w:t xml:space="preserve">Scheme matching, debt comparisons, and insurance estimates stay in the same explainable, non-advisory posture already established in Financial Doctor — informational, source-grounded, clearly labeled as not a substitute for a bank officer, insurance agent, or doctor.</w:t>
      </w:r>
    </w:p>
    <w:p>
      <w:r>
        <w:br w:type="page"/>
      </w:r>
    </w:p>
    <w:p>
      <w:pPr>
        <w:pStyle w:val="Heading1"/>
        <w:spacing w:after="160" w:before="380"/>
      </w:pPr>
      <w:r>
        <w:t xml:space="preserve">5. Phased Roadmap Overview</w:t>
      </w:r>
    </w:p>
    <w:p>
      <w:pPr>
        <w:spacing w:after="140"/>
      </w:pPr>
      <w:r>
        <w:rPr>
          <w:sz w:val="21"/>
          <w:szCs w:val="21"/>
        </w:rPr>
        <w:t xml:space="preserve">The original fourteen modules (ten core + four "new ideas") are resequenced by build feasibility and dependency rather than by theme: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00"/>
        <w:gridCol w:w="2400"/>
      </w:tblGrid>
      <w:tr>
        <w:trPr>
          <w:tblHeader/>
        </w:trPr>
        <w:tc>
          <w:tcPr>
            <w:tcW w:type="dxa" w:w="1800"/>
            <w:shd w:fill="1F3A5F" w:val="clear"/>
            <w:tcMar>
              <w:top w:type="dxa" w:w="80"/>
              <w:left w:type="dxa" w:w="100"/>
              <w:bottom w:type="dxa" w:w="80"/>
              <w:right w:type="dxa" w:w="100"/>
            </w:tcMar>
          </w:tcPr>
          <w:p>
            <w:r>
              <w:rPr>
                <w:b/>
                <w:bCs/>
                <w:color w:val="FFFFFF"/>
                <w:sz w:val="19"/>
                <w:szCs w:val="19"/>
              </w:rPr>
              <w:t xml:space="preserve">Phase</w:t>
            </w:r>
          </w:p>
        </w:tc>
        <w:tc>
          <w:tcPr>
            <w:tcW w:type="dxa" w:w="1800"/>
            <w:shd w:fill="1F3A5F" w:val="clear"/>
            <w:tcMar>
              <w:top w:type="dxa" w:w="80"/>
              <w:left w:type="dxa" w:w="100"/>
              <w:bottom w:type="dxa" w:w="80"/>
              <w:right w:type="dxa" w:w="100"/>
            </w:tcMar>
          </w:tcPr>
          <w:p>
            <w:r>
              <w:rPr>
                <w:b/>
                <w:bCs/>
                <w:color w:val="FFFFFF"/>
                <w:sz w:val="19"/>
                <w:szCs w:val="19"/>
              </w:rPr>
              <w:t xml:space="preserve">Timeline</w:t>
            </w:r>
          </w:p>
        </w:tc>
        <w:tc>
          <w:tcPr>
            <w:tcW w:type="dxa" w:w="4400"/>
            <w:shd w:fill="1F3A5F" w:val="clear"/>
            <w:tcMar>
              <w:top w:type="dxa" w:w="80"/>
              <w:left w:type="dxa" w:w="100"/>
              <w:bottom w:type="dxa" w:w="80"/>
              <w:right w:type="dxa" w:w="100"/>
            </w:tcMar>
          </w:tcPr>
          <w:p>
            <w:r>
              <w:rPr>
                <w:b/>
                <w:bCs/>
                <w:color w:val="FFFFFF"/>
                <w:sz w:val="19"/>
                <w:szCs w:val="19"/>
              </w:rPr>
              <w:t xml:space="preserve">Modules</w:t>
            </w:r>
          </w:p>
        </w:tc>
        <w:tc>
          <w:tcPr>
            <w:tcW w:type="dxa" w:w="2400"/>
            <w:shd w:fill="1F3A5F" w:val="clear"/>
            <w:tcMar>
              <w:top w:type="dxa" w:w="80"/>
              <w:left w:type="dxa" w:w="100"/>
              <w:bottom w:type="dxa" w:w="80"/>
              <w:right w:type="dxa" w:w="100"/>
            </w:tcMar>
          </w:tcPr>
          <w:p>
            <w:r>
              <w:rPr>
                <w:b/>
                <w:bCs/>
                <w:color w:val="FFFFFF"/>
                <w:sz w:val="19"/>
                <w:szCs w:val="19"/>
              </w:rPr>
              <w:t xml:space="preserve">Why this phase</w:t>
            </w:r>
          </w:p>
        </w:tc>
      </w:tr>
      <w:tr>
        <w:tc>
          <w:tcPr>
            <w:tcW w:type="dxa" w:w="1800"/>
            <w:shd w:fill="F5F7F5" w:val="clear"/>
            <w:tcMar>
              <w:top w:type="dxa" w:w="70"/>
              <w:left w:type="dxa" w:w="100"/>
              <w:bottom w:type="dxa" w:w="70"/>
              <w:right w:type="dxa" w:w="100"/>
            </w:tcMar>
          </w:tcPr>
          <w:p>
            <w:pPr>
              <w:spacing w:after="40"/>
            </w:pPr>
            <w:r>
              <w:rPr>
                <w:sz w:val="19"/>
                <w:szCs w:val="19"/>
              </w:rPr>
              <w:t xml:space="preserve">Phase 1 — MVP</w:t>
            </w:r>
          </w:p>
        </w:tc>
        <w:tc>
          <w:tcPr>
            <w:tcW w:type="dxa" w:w="1800"/>
            <w:shd w:fill="F5F7F5" w:val="clear"/>
            <w:tcMar>
              <w:top w:type="dxa" w:w="70"/>
              <w:left w:type="dxa" w:w="100"/>
              <w:bottom w:type="dxa" w:w="70"/>
              <w:right w:type="dxa" w:w="100"/>
            </w:tcMar>
          </w:tcPr>
          <w:p>
            <w:pPr>
              <w:spacing w:after="40"/>
            </w:pPr>
            <w:r>
              <w:rPr>
                <w:sz w:val="19"/>
                <w:szCs w:val="19"/>
              </w:rPr>
              <w:t xml:space="preserve">0–6 months</w:t>
            </w:r>
          </w:p>
        </w:tc>
        <w:tc>
          <w:tcPr>
            <w:tcW w:type="dxa" w:w="4400"/>
            <w:shd w:fill="F5F7F5" w:val="clear"/>
            <w:tcMar>
              <w:top w:type="dxa" w:w="70"/>
              <w:left w:type="dxa" w:w="100"/>
              <w:bottom w:type="dxa" w:w="70"/>
              <w:right w:type="dxa" w:w="100"/>
            </w:tcMar>
          </w:tcPr>
          <w:p>
            <w:pPr>
              <w:spacing w:after="40"/>
            </w:pPr>
            <w:r>
              <w:rPr>
                <w:sz w:val="19"/>
                <w:szCs w:val="19"/>
              </w:rPr>
              <w:t xml:space="preserve">Scheme Eligibility Engine · Hyper-Local Economics · Scam Shield (Voice/WhatsApp) · Mandi Price Intelligence · Speed-Sync Offline Core</w:t>
            </w:r>
          </w:p>
        </w:tc>
        <w:tc>
          <w:tcPr>
            <w:tcW w:type="dxa" w:w="2400"/>
            <w:shd w:fill="F5F7F5" w:val="clear"/>
            <w:tcMar>
              <w:top w:type="dxa" w:w="70"/>
              <w:left w:type="dxa" w:w="100"/>
              <w:bottom w:type="dxa" w:w="70"/>
              <w:right w:type="dxa" w:w="100"/>
            </w:tcMar>
          </w:tcPr>
          <w:p>
            <w:pPr>
              <w:spacing w:after="40"/>
            </w:pPr>
            <w:r>
              <w:rPr>
                <w:sz w:val="19"/>
                <w:szCs w:val="19"/>
              </w:rPr>
              <w:t xml:space="preserve">Pure software, no external data partnerships required, fastest trust-building value</w:t>
            </w:r>
          </w:p>
        </w:tc>
      </w:tr>
      <w:tr>
        <w:tc>
          <w:tcPr>
            <w:tcW w:type="dxa" w:w="1800"/>
            <w:shd w:fill="FFFFFF" w:val="clear"/>
            <w:tcMar>
              <w:top w:type="dxa" w:w="70"/>
              <w:left w:type="dxa" w:w="100"/>
              <w:bottom w:type="dxa" w:w="70"/>
              <w:right w:type="dxa" w:w="100"/>
            </w:tcMar>
          </w:tcPr>
          <w:p>
            <w:pPr>
              <w:spacing w:after="40"/>
            </w:pPr>
            <w:r>
              <w:rPr>
                <w:sz w:val="19"/>
                <w:szCs w:val="19"/>
              </w:rPr>
              <w:t xml:space="preserve">Phase 2 — Growth</w:t>
            </w:r>
          </w:p>
        </w:tc>
        <w:tc>
          <w:tcPr>
            <w:tcW w:type="dxa" w:w="1800"/>
            <w:shd w:fill="FFFFFF" w:val="clear"/>
            <w:tcMar>
              <w:top w:type="dxa" w:w="70"/>
              <w:left w:type="dxa" w:w="100"/>
              <w:bottom w:type="dxa" w:w="70"/>
              <w:right w:type="dxa" w:w="100"/>
            </w:tcMar>
          </w:tcPr>
          <w:p>
            <w:pPr>
              <w:spacing w:after="40"/>
            </w:pPr>
            <w:r>
              <w:rPr>
                <w:sz w:val="19"/>
                <w:szCs w:val="19"/>
              </w:rPr>
              <w:t xml:space="preserve">6–14 months</w:t>
            </w:r>
          </w:p>
        </w:tc>
        <w:tc>
          <w:tcPr>
            <w:tcW w:type="dxa" w:w="4400"/>
            <w:shd w:fill="FFFFFF" w:val="clear"/>
            <w:tcMar>
              <w:top w:type="dxa" w:w="70"/>
              <w:left w:type="dxa" w:w="100"/>
              <w:bottom w:type="dxa" w:w="70"/>
              <w:right w:type="dxa" w:w="100"/>
            </w:tcMar>
          </w:tcPr>
          <w:p>
            <w:pPr>
              <w:spacing w:after="40"/>
            </w:pPr>
            <w:r>
              <w:rPr>
                <w:sz w:val="19"/>
                <w:szCs w:val="19"/>
              </w:rPr>
              <w:t xml:space="preserve">Livestock &amp; Asset Micro-Insurance Estimator · Debt Comparison Tool · Cooperative Micro-Pool Financing · SHG Group Dashboard</w:t>
            </w:r>
          </w:p>
        </w:tc>
        <w:tc>
          <w:tcPr>
            <w:tcW w:type="dxa" w:w="2400"/>
            <w:shd w:fill="FFFFFF" w:val="clear"/>
            <w:tcMar>
              <w:top w:type="dxa" w:w="70"/>
              <w:left w:type="dxa" w:w="100"/>
              <w:bottom w:type="dxa" w:w="70"/>
              <w:right w:type="dxa" w:w="100"/>
            </w:tcMar>
          </w:tcPr>
          <w:p>
            <w:pPr>
              <w:spacing w:after="40"/>
            </w:pPr>
            <w:r>
              <w:rPr>
                <w:sz w:val="19"/>
                <w:szCs w:val="19"/>
              </w:rPr>
              <w:t xml:space="preserve">Needs light partnerships (insurers, cooperatives) but reuses the existing deterministic risk engine</w:t>
            </w:r>
          </w:p>
        </w:tc>
      </w:tr>
      <w:tr>
        <w:tc>
          <w:tcPr>
            <w:tcW w:type="dxa" w:w="1800"/>
            <w:shd w:fill="F5F7F5" w:val="clear"/>
            <w:tcMar>
              <w:top w:type="dxa" w:w="70"/>
              <w:left w:type="dxa" w:w="100"/>
              <w:bottom w:type="dxa" w:w="70"/>
              <w:right w:type="dxa" w:w="100"/>
            </w:tcMar>
          </w:tcPr>
          <w:p>
            <w:pPr>
              <w:spacing w:after="40"/>
            </w:pPr>
            <w:r>
              <w:rPr>
                <w:sz w:val="19"/>
                <w:szCs w:val="19"/>
              </w:rPr>
              <w:t xml:space="preserve">Phase 3 — Frontier</w:t>
            </w:r>
          </w:p>
        </w:tc>
        <w:tc>
          <w:tcPr>
            <w:tcW w:type="dxa" w:w="1800"/>
            <w:shd w:fill="F5F7F5" w:val="clear"/>
            <w:tcMar>
              <w:top w:type="dxa" w:w="70"/>
              <w:left w:type="dxa" w:w="100"/>
              <w:bottom w:type="dxa" w:w="70"/>
              <w:right w:type="dxa" w:w="100"/>
            </w:tcMar>
          </w:tcPr>
          <w:p>
            <w:pPr>
              <w:spacing w:after="40"/>
            </w:pPr>
            <w:r>
              <w:rPr>
                <w:sz w:val="19"/>
                <w:szCs w:val="19"/>
              </w:rPr>
              <w:t xml:space="preserve">14+ months, partnership-dependent</w:t>
            </w:r>
          </w:p>
        </w:tc>
        <w:tc>
          <w:tcPr>
            <w:tcW w:type="dxa" w:w="4400"/>
            <w:shd w:fill="F5F7F5" w:val="clear"/>
            <w:tcMar>
              <w:top w:type="dxa" w:w="70"/>
              <w:left w:type="dxa" w:w="100"/>
              <w:bottom w:type="dxa" w:w="70"/>
              <w:right w:type="dxa" w:w="100"/>
            </w:tcMar>
          </w:tcPr>
          <w:p>
            <w:pPr>
              <w:spacing w:after="40"/>
            </w:pPr>
            <w:r>
              <w:rPr>
                <w:sz w:val="19"/>
                <w:szCs w:val="19"/>
              </w:rPr>
              <w:t xml:space="preserve">Soil Health &amp; Input Optimizer · Environmental Risk &amp; Yield Forecaster · Community Health Safety Net · Youth Upskilling Engine · Crop-Disease Robotics Integration</w:t>
            </w:r>
          </w:p>
        </w:tc>
        <w:tc>
          <w:tcPr>
            <w:tcW w:type="dxa" w:w="2400"/>
            <w:shd w:fill="F5F7F5" w:val="clear"/>
            <w:tcMar>
              <w:top w:type="dxa" w:w="70"/>
              <w:left w:type="dxa" w:w="100"/>
              <w:bottom w:type="dxa" w:w="70"/>
              <w:right w:type="dxa" w:w="100"/>
            </w:tcMar>
          </w:tcPr>
          <w:p>
            <w:pPr>
              <w:spacing w:after="40"/>
            </w:pPr>
            <w:r>
              <w:rPr>
                <w:sz w:val="19"/>
                <w:szCs w:val="19"/>
              </w:rPr>
              <w:t xml:space="preserve">Requires domain-expert partners, sensor/lab data, or third-party hardware — FinX integrates and visualizes, it does not build the underlying science</w:t>
            </w:r>
          </w:p>
        </w:tc>
      </w:tr>
    </w:tbl>
    <w:p>
      <w:r>
        <w:br w:type="page"/>
      </w:r>
    </w:p>
    <w:p>
      <w:pPr>
        <w:pStyle w:val="Heading1"/>
        <w:spacing w:after="160" w:before="380"/>
      </w:pPr>
      <w:r>
        <w:t xml:space="preserve">6. Phase 1 — MVP Module Specifications (0–6 months)</w:t>
      </w:r>
    </w:p>
    <w:p>
      <w:pPr>
        <w:pStyle w:val="Heading2"/>
        <w:spacing w:after="120" w:before="260"/>
      </w:pPr>
      <w:r>
        <w:t xml:space="preserve">Module 1: Smart Government Scheme Eligibility Engine</w:t>
      </w:r>
    </w:p>
    <w:p>
      <w:pPr>
        <w:shd w:fill="1F3A5F" w:val="clear"/>
        <w:spacing w:after="100" w:before="300"/>
      </w:pPr>
      <w:r>
        <w:rPr>
          <w:b/>
          <w:bCs/>
          <w:color w:val="FFFFFF"/>
          <w:sz w:val="17"/>
          <w:szCs w:val="17"/>
        </w:rPr>
        <w:t xml:space="preserve">  PHASE 1 · FLAGSHIP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Roughly a quarter of KCC-eligible agricultural households in the NAFIS survey had not yet obtained one, and awareness of state-specific subsidies is even lower. Farmers are not ineligible — they simply never see a scheme matched to their exact profile, or don't know what paperwork to bring.</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Guided wizard collecting land size, district, crop type, income bracket, social category, and family size — voice input supported throughout.</w:t>
      </w:r>
    </w:p>
    <w:p>
      <w:pPr>
        <w:pStyle w:val="ListParagraph"/>
        <w:numPr>
          <w:ilvl w:val="0"/>
          <w:numId w:val="1"/>
        </w:numPr>
        <w:spacing w:after="80"/>
      </w:pPr>
      <w:r>
        <w:t xml:space="preserve">Matching engine ranks eligible schemes (PM-KISAN, KCC, PMFBY, PM-MUDRA, state subsidies) by estimated benefit and ease of application.</w:t>
      </w:r>
    </w:p>
    <w:p>
      <w:pPr>
        <w:pStyle w:val="ListParagraph"/>
        <w:numPr>
          <w:ilvl w:val="0"/>
          <w:numId w:val="1"/>
        </w:numPr>
        <w:spacing w:after="80"/>
      </w:pPr>
      <w:r>
        <w:t xml:space="preserve">Auto-generated, downloadable and printable checklist with a zero-jargon explanation of required documents.</w:t>
      </w:r>
    </w:p>
    <w:p>
      <w:pPr>
        <w:pStyle w:val="ListParagraph"/>
        <w:numPr>
          <w:ilvl w:val="0"/>
          <w:numId w:val="1"/>
        </w:numPr>
        <w:spacing w:after="80"/>
      </w:pPr>
      <w:r>
        <w:t xml:space="preserve">"Last verified" date shown on every scheme, with a direct disclaimer to confirm with the official source before applying.</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(or a family member on their behalf) opens the wizard and answers 5–6 questions by voice or text.</w:t>
      </w:r>
    </w:p>
    <w:p>
      <w:pPr>
        <w:spacing w:after="80"/>
        <w:ind w:left="360"/>
      </w:pPr>
      <w:r>
        <w:rPr>
          <w:b/>
          <w:bCs/>
          <w:sz w:val="21"/>
          <w:szCs w:val="21"/>
        </w:rPr>
        <w:t xml:space="preserve">Step 2 — </w:t>
      </w:r>
      <w:r>
        <w:rPr>
          <w:sz w:val="21"/>
          <w:szCs w:val="21"/>
        </w:rPr>
        <w:t xml:space="preserve">Engine returns a ranked list of matched schemes with estimated benefit amounts.</w:t>
      </w:r>
    </w:p>
    <w:p>
      <w:pPr>
        <w:spacing w:after="80"/>
        <w:ind w:left="360"/>
      </w:pPr>
      <w:r>
        <w:rPr>
          <w:b/>
          <w:bCs/>
          <w:sz w:val="21"/>
          <w:szCs w:val="21"/>
        </w:rPr>
        <w:t xml:space="preserve">Step 3 — </w:t>
      </w:r>
      <w:r>
        <w:rPr>
          <w:sz w:val="21"/>
          <w:szCs w:val="21"/>
        </w:rPr>
        <w:t xml:space="preserve">User taps a scheme to see a plain-language summary and required documents.</w:t>
      </w:r>
    </w:p>
    <w:p>
      <w:pPr>
        <w:spacing w:after="80"/>
        <w:ind w:left="360"/>
      </w:pPr>
      <w:r>
        <w:rPr>
          <w:b/>
          <w:bCs/>
          <w:sz w:val="21"/>
          <w:szCs w:val="21"/>
        </w:rPr>
        <w:t xml:space="preserve">Step 4 — </w:t>
      </w:r>
      <w:r>
        <w:rPr>
          <w:sz w:val="21"/>
          <w:szCs w:val="21"/>
        </w:rPr>
        <w:t xml:space="preserve">User downloads or prints the pre-filled checklist to take to the bank or panchayat.</w:t>
      </w:r>
    </w:p>
    <w:p>
      <w:pPr>
        <w:spacing w:after="80"/>
        <w:ind w:left="360"/>
      </w:pPr>
      <w:r>
        <w:rPr>
          <w:b/>
          <w:bCs/>
          <w:sz w:val="21"/>
          <w:szCs w:val="21"/>
        </w:rPr>
        <w:t xml:space="preserve">Step 5 — </w:t>
      </w:r>
      <w:r>
        <w:rPr>
          <w:sz w:val="21"/>
          <w:szCs w:val="21"/>
        </w:rPr>
        <w:t xml:space="preserve">Optional: user marks the scheme as "applied" to track status over time.</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Curated, human-verified scheme database maintained on a weekly/monthly review cycle — not assumed to be a live government API at launch.</w:t>
      </w:r>
    </w:p>
    <w:p>
      <w:pPr>
        <w:pStyle w:val="ListParagraph"/>
        <w:numPr>
          <w:ilvl w:val="0"/>
          <w:numId w:val="1"/>
        </w:numPr>
        <w:spacing w:after="80"/>
      </w:pPr>
      <w:r>
        <w:t xml:space="preserve">Longer-term: formal data-sharing arrangement with state agriculture or rural development departments.</w:t>
      </w:r>
    </w:p>
    <w:p>
      <w:pPr>
        <w:spacing w:after="60" w:before="140"/>
      </w:pPr>
      <w:r>
        <w:rPr>
          <w:b/>
          <w:bCs/>
          <w:i/>
          <w:iCs/>
          <w:color w:val="595959"/>
          <w:sz w:val="19"/>
          <w:szCs w:val="19"/>
        </w:rPr>
        <w:t xml:space="preserve">Primary Success Metric</w:t>
      </w:r>
    </w:p>
    <w:p>
      <w:pPr>
        <w:spacing w:after="100"/>
      </w:pPr>
      <w:r>
        <w:rPr>
          <w:sz w:val="21"/>
          <w:szCs w:val="21"/>
        </w:rPr>
        <w:t xml:space="preserve">Percentage of matched scheme recommendations that reach actual submission at a bank or panchayat within 60 days, tracked via the in-app "applied" marker plus periodic partner-organization follow-up.</w:t>
      </w:r>
    </w:p>
    <w:p>
      <w:pPr>
        <w:spacing w:after="60" w:before="140"/>
      </w:pPr>
      <w:r>
        <w:rPr>
          <w:b/>
          <w:bCs/>
          <w:i/>
          <w:iCs/>
          <w:color w:val="595959"/>
          <w:sz w:val="19"/>
          <w:szCs w:val="19"/>
        </w:rPr>
        <w:t xml:space="preserve">Feasibility Note</w:t>
      </w:r>
    </w:p>
    <w:p>
      <w:pPr>
        <w:spacing w:after="60"/>
      </w:pPr>
      <w:r>
        <w:rPr>
          <w:sz w:val="21"/>
          <w:szCs w:val="21"/>
        </w:rPr>
        <w:t xml:space="preserve">Build on the curated dataset first; treat a live government API integration as a Phase 3 stretch goal. This is the single highest-effort data-maintenance module and needs a named content owner from day one.</w:t>
      </w:r>
    </w:p>
    <w:p>
      <w:pPr>
        <w:pStyle w:val="Heading2"/>
        <w:spacing w:after="120" w:before="260"/>
      </w:pPr>
      <w:r>
        <w:t xml:space="preserve">Module 2: Hyper-Local Economic Benchmarking</w:t>
      </w:r>
    </w:p>
    <w:p>
      <w:pPr>
        <w:shd w:fill="1F3A5F" w:val="clear"/>
        <w:spacing w:after="100" w:before="300"/>
      </w:pPr>
      <w:r>
        <w:rPr>
          <w:b/>
          <w:bCs/>
          <w:color w:val="FFFFFF"/>
          <w:sz w:val="17"/>
          <w:szCs w:val="17"/>
        </w:rPr>
        <w:t xml:space="preserve">  PHASE 1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National financial-planning tools assume steady monthly income. A mango farmer in Krishnagiri earns most of a year's income in a six-week harvest window and spends steadily the rest of the year — a mismatch that standard budgeting tools cannot model.</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Seasonal cash-flow modeling calibrated to specific district crop calendars, starting with a small number of pilot districts (Kanyakumari, Krishnagiri, Salem).</w:t>
      </w:r>
    </w:p>
    <w:p>
      <w:pPr>
        <w:pStyle w:val="ListParagraph"/>
        <w:numPr>
          <w:ilvl w:val="0"/>
          <w:numId w:val="1"/>
        </w:numPr>
        <w:spacing w:after="80"/>
      </w:pPr>
      <w:r>
        <w:t xml:space="preserve">Reuses the existing deterministic stress-test engine from Financial Doctor, with crop-cycle inputs replacing stock-volatility inputs.</w:t>
      </w:r>
    </w:p>
    <w:p>
      <w:pPr>
        <w:pStyle w:val="ListParagraph"/>
        <w:numPr>
          <w:ilvl w:val="0"/>
          <w:numId w:val="1"/>
        </w:numPr>
        <w:spacing w:after="80"/>
      </w:pPr>
      <w:r>
        <w:t xml:space="preserve">Produces a 12-month liquidity calendar flagging which months are cash-negative and by how much.</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selects their district and primary crop(s) from a short list.</w:t>
      </w:r>
    </w:p>
    <w:p>
      <w:pPr>
        <w:spacing w:after="80"/>
        <w:ind w:left="360"/>
      </w:pPr>
      <w:r>
        <w:rPr>
          <w:b/>
          <w:bCs/>
          <w:sz w:val="21"/>
          <w:szCs w:val="21"/>
        </w:rPr>
        <w:t xml:space="preserve">Step 2 — </w:t>
      </w:r>
      <w:r>
        <w:rPr>
          <w:sz w:val="21"/>
          <w:szCs w:val="21"/>
        </w:rPr>
        <w:t xml:space="preserve">User enters or confirms typical harvest income and major expense periods (seeds, fertilizer, labor, school fees).</w:t>
      </w:r>
    </w:p>
    <w:p>
      <w:pPr>
        <w:spacing w:after="80"/>
        <w:ind w:left="360"/>
      </w:pPr>
      <w:r>
        <w:rPr>
          <w:b/>
          <w:bCs/>
          <w:sz w:val="21"/>
          <w:szCs w:val="21"/>
        </w:rPr>
        <w:t xml:space="preserve">Step 3 — </w:t>
      </w:r>
      <w:r>
        <w:rPr>
          <w:sz w:val="21"/>
          <w:szCs w:val="21"/>
        </w:rPr>
        <w:t xml:space="preserve">Engine generates a 12-month calendar view highlighting cash-negative months.</w:t>
      </w:r>
    </w:p>
    <w:p>
      <w:pPr>
        <w:spacing w:after="80"/>
        <w:ind w:left="360"/>
      </w:pPr>
      <w:r>
        <w:rPr>
          <w:b/>
          <w:bCs/>
          <w:sz w:val="21"/>
          <w:szCs w:val="21"/>
        </w:rPr>
        <w:t xml:space="preserve">Step 4 — </w:t>
      </w:r>
      <w:r>
        <w:rPr>
          <w:sz w:val="21"/>
          <w:szCs w:val="21"/>
        </w:rPr>
        <w:t xml:space="preserve">User can run a simple what-if ("harvest is 20% below average") to see the effect on loan repayment capacity.</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District-level crop calendar and price-cycle data, verified with a local agricultural extension partner per pilot district before expanding.</w:t>
      </w:r>
    </w:p>
    <w:p>
      <w:pPr>
        <w:spacing w:after="60" w:before="140"/>
      </w:pPr>
      <w:r>
        <w:rPr>
          <w:b/>
          <w:bCs/>
          <w:i/>
          <w:iCs/>
          <w:color w:val="595959"/>
          <w:sz w:val="19"/>
          <w:szCs w:val="19"/>
        </w:rPr>
        <w:t xml:space="preserve">Primary Success Metric</w:t>
      </w:r>
    </w:p>
    <w:p>
      <w:pPr>
        <w:spacing w:after="100"/>
      </w:pPr>
      <w:r>
        <w:rPr>
          <w:sz w:val="21"/>
          <w:szCs w:val="21"/>
        </w:rPr>
        <w:t xml:space="preserve">Reduction in emergency or informal borrowing among active users over a 12-month period, measured via periodic user survey through the partner organization.</w:t>
      </w:r>
    </w:p>
    <w:p>
      <w:pPr>
        <w:spacing w:after="60" w:before="140"/>
      </w:pPr>
      <w:r>
        <w:rPr>
          <w:b/>
          <w:bCs/>
          <w:i/>
          <w:iCs/>
          <w:color w:val="595959"/>
          <w:sz w:val="19"/>
          <w:szCs w:val="19"/>
        </w:rPr>
        <w:t xml:space="preserve">Feasibility Note</w:t>
      </w:r>
    </w:p>
    <w:p>
      <w:pPr>
        <w:spacing w:after="60"/>
      </w:pPr>
      <w:r>
        <w:rPr>
          <w:sz w:val="21"/>
          <w:szCs w:val="21"/>
        </w:rPr>
        <w:t xml:space="preserve">Launch with 2–3 verified pilot districts rather than a national model; expanding district coverage without local verification risks giving confidently wrong seasonal guidance.</w:t>
      </w:r>
    </w:p>
    <w:p>
      <w:pPr>
        <w:pStyle w:val="Heading2"/>
        <w:spacing w:after="120" w:before="260"/>
      </w:pPr>
      <w:r>
        <w:t xml:space="preserve">Module 3: Regional Scam Shield — Voice &amp; WhatsApp</w:t>
      </w:r>
    </w:p>
    <w:p>
      <w:pPr>
        <w:shd w:fill="1F3A5F" w:val="clear"/>
        <w:spacing w:after="100" w:before="300"/>
      </w:pPr>
      <w:r>
        <w:rPr>
          <w:b/>
          <w:bCs/>
          <w:color w:val="FFFFFF"/>
          <w:sz w:val="17"/>
          <w:szCs w:val="17"/>
        </w:rPr>
        <w:t xml:space="preserve">  PHASE 1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Rural households are a frequent target for fake investment schemes, fraudulent chit funds, and predatory "loan processing fee" scams — often delivered via WhatsApp forwards or unsolicited calls, exactly the channels this module is built for.</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Users forward a suspicious WhatsApp/SMS message directly to an AI verification bot.</w:t>
      </w:r>
    </w:p>
    <w:p>
      <w:pPr>
        <w:pStyle w:val="ListParagraph"/>
        <w:numPr>
          <w:ilvl w:val="0"/>
          <w:numId w:val="1"/>
        </w:numPr>
        <w:spacing w:after="80"/>
      </w:pPr>
      <w:r>
        <w:t xml:space="preserve">Message is checked against RBI/SEBI enforcement orders and known regional fraud patterns.</w:t>
      </w:r>
    </w:p>
    <w:p>
      <w:pPr>
        <w:pStyle w:val="ListParagraph"/>
        <w:numPr>
          <w:ilvl w:val="0"/>
          <w:numId w:val="1"/>
        </w:numPr>
        <w:spacing w:after="80"/>
      </w:pPr>
      <w:r>
        <w:t xml:space="preserve">Response returned as a short audio note in the user's regional language, plus a text summary.</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receives a suspicious message and forwards it to the FinX WhatsApp number.</w:t>
      </w:r>
    </w:p>
    <w:p>
      <w:pPr>
        <w:spacing w:after="80"/>
        <w:ind w:left="360"/>
      </w:pPr>
      <w:r>
        <w:rPr>
          <w:b/>
          <w:bCs/>
          <w:sz w:val="21"/>
          <w:szCs w:val="21"/>
        </w:rPr>
        <w:t xml:space="preserve">Step 2 — </w:t>
      </w:r>
      <w:r>
        <w:rPr>
          <w:sz w:val="21"/>
          <w:szCs w:val="21"/>
        </w:rPr>
        <w:t xml:space="preserve">Bot checks the claim against regulatory data and fraud-pattern signatures.</w:t>
      </w:r>
    </w:p>
    <w:p>
      <w:pPr>
        <w:spacing w:after="80"/>
        <w:ind w:left="360"/>
      </w:pPr>
      <w:r>
        <w:rPr>
          <w:b/>
          <w:bCs/>
          <w:sz w:val="21"/>
          <w:szCs w:val="21"/>
        </w:rPr>
        <w:t xml:space="preserve">Step 3 — </w:t>
      </w:r>
      <w:r>
        <w:rPr>
          <w:sz w:val="21"/>
          <w:szCs w:val="21"/>
        </w:rPr>
        <w:t xml:space="preserve">Bot replies within minutes with a verdict (likely scam / registered entity / unclear) and a short plain-language audio explanation.</w:t>
      </w:r>
    </w:p>
    <w:p>
      <w:pPr>
        <w:spacing w:after="80"/>
        <w:ind w:left="360"/>
      </w:pPr>
      <w:r>
        <w:rPr>
          <w:b/>
          <w:bCs/>
          <w:sz w:val="21"/>
          <w:szCs w:val="21"/>
        </w:rPr>
        <w:t xml:space="preserve">Step 4 — </w:t>
      </w:r>
      <w:r>
        <w:rPr>
          <w:sz w:val="21"/>
          <w:szCs w:val="21"/>
        </w:rPr>
        <w:t xml:space="preserve">If flagged as a scam, the bot offers a one-tap option to report the number for community warning.</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RBI and SEBI enforcement-order feeds (already integrated in Financial Doctor's existing scam detector).</w:t>
      </w:r>
    </w:p>
    <w:p>
      <w:pPr>
        <w:pStyle w:val="ListParagraph"/>
        <w:numPr>
          <w:ilvl w:val="0"/>
          <w:numId w:val="1"/>
        </w:numPr>
        <w:spacing w:after="80"/>
      </w:pPr>
      <w:r>
        <w:t xml:space="preserve">A growing internal fraud-pattern library built from user-forwarded messages, reviewed for accuracy before being used to auto-flag future messages.</w:t>
      </w:r>
    </w:p>
    <w:p>
      <w:pPr>
        <w:spacing w:after="60" w:before="140"/>
      </w:pPr>
      <w:r>
        <w:rPr>
          <w:b/>
          <w:bCs/>
          <w:i/>
          <w:iCs/>
          <w:color w:val="595959"/>
          <w:sz w:val="19"/>
          <w:szCs w:val="19"/>
        </w:rPr>
        <w:t xml:space="preserve">Primary Success Metric</w:t>
      </w:r>
    </w:p>
    <w:p>
      <w:pPr>
        <w:spacing w:after="100"/>
      </w:pPr>
      <w:r>
        <w:rPr>
          <w:sz w:val="21"/>
          <w:szCs w:val="21"/>
        </w:rPr>
        <w:t xml:space="preserve">Number of scams flagged before any financial loss occurred, self-reported by users in a brief post-flag survey.</w:t>
      </w:r>
    </w:p>
    <w:p>
      <w:pPr>
        <w:spacing w:after="60" w:before="140"/>
      </w:pPr>
      <w:r>
        <w:rPr>
          <w:b/>
          <w:bCs/>
          <w:i/>
          <w:iCs/>
          <w:color w:val="595959"/>
          <w:sz w:val="19"/>
          <w:szCs w:val="19"/>
        </w:rPr>
        <w:t xml:space="preserve">Feasibility Note</w:t>
      </w:r>
    </w:p>
    <w:p>
      <w:pPr>
        <w:spacing w:after="60"/>
      </w:pPr>
      <w:r>
        <w:rPr>
          <w:sz w:val="21"/>
          <w:szCs w:val="21"/>
        </w:rPr>
        <w:t xml:space="preserve">Start with text-based WhatsApp forwarding only; add voice-note input as a fast-follow once regional-language speech recognition accuracy is validated, since accuracy varies significantly by dialect.</w:t>
      </w:r>
    </w:p>
    <w:p>
      <w:pPr>
        <w:pStyle w:val="Heading2"/>
        <w:spacing w:after="120" w:before="260"/>
      </w:pPr>
      <w:r>
        <w:t xml:space="preserve">Module 4: Mandi Price Intelligence &amp; Harvest Timing</w:t>
      </w:r>
    </w:p>
    <w:p>
      <w:pPr>
        <w:shd w:fill="1F3A5F" w:val="clear"/>
        <w:spacing w:after="100" w:before="300"/>
      </w:pPr>
      <w:r>
        <w:rPr>
          <w:b/>
          <w:bCs/>
          <w:color w:val="FFFFFF"/>
          <w:sz w:val="17"/>
          <w:szCs w:val="17"/>
        </w:rPr>
        <w:t xml:space="preserve">  PHASE 1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Farmers frequently sell immediately after harvest when local prices are at their seasonal low, simply because they lack visibility into price trends at nearby markets or the cash-flow cushion to wait.</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Tracks historical and recent price trends for the user's specific crop across nearby mandis.</w:t>
      </w:r>
    </w:p>
    <w:p>
      <w:pPr>
        <w:pStyle w:val="ListParagraph"/>
        <w:numPr>
          <w:ilvl w:val="0"/>
          <w:numId w:val="1"/>
        </w:numPr>
        <w:spacing w:after="80"/>
      </w:pPr>
      <w:r>
        <w:t xml:space="preserve">Shows a simple, non-directive sell-now-vs-wait signal based on price trend and typical post-harvest price patterns.</w:t>
      </w:r>
    </w:p>
    <w:p>
      <w:pPr>
        <w:pStyle w:val="ListParagraph"/>
        <w:numPr>
          <w:ilvl w:val="0"/>
          <w:numId w:val="1"/>
        </w:numPr>
        <w:spacing w:after="80"/>
      </w:pPr>
      <w:r>
        <w:t xml:space="preserve">Optional SMS alerts for significant price moves, since not every user opens the app daily.</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selects their crop and nearest 2–3 mandis.</w:t>
      </w:r>
    </w:p>
    <w:p>
      <w:pPr>
        <w:spacing w:after="80"/>
        <w:ind w:left="360"/>
      </w:pPr>
      <w:r>
        <w:rPr>
          <w:b/>
          <w:bCs/>
          <w:sz w:val="21"/>
          <w:szCs w:val="21"/>
        </w:rPr>
        <w:t xml:space="preserve">Step 2 — </w:t>
      </w:r>
      <w:r>
        <w:rPr>
          <w:sz w:val="21"/>
          <w:szCs w:val="21"/>
        </w:rPr>
        <w:t xml:space="preserve">App shows a simple price trend chart and recent average price at each.</w:t>
      </w:r>
    </w:p>
    <w:p>
      <w:pPr>
        <w:spacing w:after="80"/>
        <w:ind w:left="360"/>
      </w:pPr>
      <w:r>
        <w:rPr>
          <w:b/>
          <w:bCs/>
          <w:sz w:val="21"/>
          <w:szCs w:val="21"/>
        </w:rPr>
        <w:t xml:space="preserve">Step 3 — </w:t>
      </w:r>
      <w:r>
        <w:rPr>
          <w:sz w:val="21"/>
          <w:szCs w:val="21"/>
        </w:rPr>
        <w:t xml:space="preserve">User optionally sets an SMS alert threshold (e.g., notify if price rises above ₹X/quintal).</w:t>
      </w:r>
    </w:p>
    <w:p>
      <w:pPr>
        <w:spacing w:after="80"/>
        <w:ind w:left="360"/>
      </w:pPr>
      <w:r>
        <w:rPr>
          <w:b/>
          <w:bCs/>
          <w:sz w:val="21"/>
          <w:szCs w:val="21"/>
        </w:rPr>
        <w:t xml:space="preserve">Step 4 — </w:t>
      </w:r>
      <w:r>
        <w:rPr>
          <w:sz w:val="21"/>
          <w:szCs w:val="21"/>
        </w:rPr>
        <w:t xml:space="preserve">At harvest time, user checks the app or receives an SMS before deciding where and when to sell.</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Agmarknet and state mandi board public price data as the initial source.</w:t>
      </w:r>
    </w:p>
    <w:p>
      <w:pPr>
        <w:pStyle w:val="ListParagraph"/>
        <w:numPr>
          <w:ilvl w:val="0"/>
          <w:numId w:val="1"/>
        </w:numPr>
        <w:spacing w:after="80"/>
      </w:pPr>
      <w:r>
        <w:t xml:space="preserve">Longer-term: direct data-sharing with district-level mandi committees for faster price updates.</w:t>
      </w:r>
    </w:p>
    <w:p>
      <w:pPr>
        <w:spacing w:after="60" w:before="140"/>
      </w:pPr>
      <w:r>
        <w:rPr>
          <w:b/>
          <w:bCs/>
          <w:i/>
          <w:iCs/>
          <w:color w:val="595959"/>
          <w:sz w:val="19"/>
          <w:szCs w:val="19"/>
        </w:rPr>
        <w:t xml:space="preserve">Primary Success Metric</w:t>
      </w:r>
    </w:p>
    <w:p>
      <w:pPr>
        <w:spacing w:after="100"/>
      </w:pPr>
      <w:r>
        <w:rPr>
          <w:sz w:val="21"/>
          <w:szCs w:val="21"/>
        </w:rPr>
        <w:t xml:space="preserve">Percentage of active users who report avoiding a distress sale using the tool, measured via in-app quick survey after the local harvest season.</w:t>
      </w:r>
    </w:p>
    <w:p>
      <w:pPr>
        <w:spacing w:after="60" w:before="140"/>
      </w:pPr>
      <w:r>
        <w:rPr>
          <w:b/>
          <w:bCs/>
          <w:i/>
          <w:iCs/>
          <w:color w:val="595959"/>
          <w:sz w:val="19"/>
          <w:szCs w:val="19"/>
        </w:rPr>
        <w:t xml:space="preserve">Feasibility Note</w:t>
      </w:r>
    </w:p>
    <w:p>
      <w:pPr>
        <w:spacing w:after="60"/>
      </w:pPr>
      <w:r>
        <w:rPr>
          <w:sz w:val="21"/>
          <w:szCs w:val="21"/>
        </w:rPr>
        <w:t xml:space="preserve">High confidence for Phase 1 — public data sources already exist (Agmarknet); the main engineering work is data-cleaning and building a legible, low-bandwidth chart, not sourcing new data.</w:t>
      </w:r>
    </w:p>
    <w:p>
      <w:pPr>
        <w:pStyle w:val="Heading2"/>
        <w:spacing w:after="120" w:before="260"/>
      </w:pPr>
      <w:r>
        <w:t xml:space="preserve">Module 5: Speed-Sync Offline Core (Platform Foundation)</w:t>
      </w:r>
    </w:p>
    <w:p>
      <w:pPr>
        <w:shd w:fill="A64B2A" w:val="clear"/>
        <w:spacing w:after="100" w:before="300"/>
      </w:pPr>
      <w:r>
        <w:rPr>
          <w:b/>
          <w:bCs/>
          <w:color w:val="FFFFFF"/>
          <w:sz w:val="17"/>
          <w:szCs w:val="17"/>
        </w:rPr>
        <w:t xml:space="preserve">  PHASE 1 · FOUNDATION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This is not a standalone feature but the technical foundation every module above depends on. Retrofitting offline support after launch is far more expensive than designing for it from day one, and rural connectivity cannot be assumed to be reliable.</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Offline-first data entry stored locally (IndexedDB), syncing opportunistically when connectivity returns.</w:t>
      </w:r>
    </w:p>
    <w:p>
      <w:pPr>
        <w:pStyle w:val="ListParagraph"/>
        <w:numPr>
          <w:ilvl w:val="0"/>
          <w:numId w:val="1"/>
        </w:numPr>
        <w:spacing w:after="80"/>
      </w:pPr>
      <w:r>
        <w:t xml:space="preserve">Lightweight UI — minimal asset sizes and animation — tuned for 2G/3G and entry-level Android devices.</w:t>
      </w:r>
    </w:p>
    <w:p>
      <w:pPr>
        <w:pStyle w:val="ListParagraph"/>
        <w:numPr>
          <w:ilvl w:val="0"/>
          <w:numId w:val="1"/>
        </w:numPr>
        <w:spacing w:after="80"/>
      </w:pPr>
      <w:r>
        <w:t xml:space="preserve">Voice-first input options for low-literacy users, alongside standard text entry, across every module.</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enters data (wizard answers, scheme applications marked, price alerts set) while offline.</w:t>
      </w:r>
    </w:p>
    <w:p>
      <w:pPr>
        <w:spacing w:after="80"/>
        <w:ind w:left="360"/>
      </w:pPr>
      <w:r>
        <w:rPr>
          <w:b/>
          <w:bCs/>
          <w:sz w:val="21"/>
          <w:szCs w:val="21"/>
        </w:rPr>
        <w:t xml:space="preserve">Step 2 — </w:t>
      </w:r>
      <w:r>
        <w:rPr>
          <w:sz w:val="21"/>
          <w:szCs w:val="21"/>
        </w:rPr>
        <w:t xml:space="preserve">Data is stored locally and queued for sync.</w:t>
      </w:r>
    </w:p>
    <w:p>
      <w:pPr>
        <w:spacing w:after="80"/>
        <w:ind w:left="360"/>
      </w:pPr>
      <w:r>
        <w:rPr>
          <w:b/>
          <w:bCs/>
          <w:sz w:val="21"/>
          <w:szCs w:val="21"/>
        </w:rPr>
        <w:t xml:space="preserve">Step 3 — </w:t>
      </w:r>
      <w:r>
        <w:rPr>
          <w:sz w:val="21"/>
          <w:szCs w:val="21"/>
        </w:rPr>
        <w:t xml:space="preserve">When connectivity returns, the app syncs in the background without blocking the user.</w:t>
      </w:r>
    </w:p>
    <w:p>
      <w:pPr>
        <w:spacing w:after="80"/>
        <w:ind w:left="360"/>
      </w:pPr>
      <w:r>
        <w:rPr>
          <w:b/>
          <w:bCs/>
          <w:sz w:val="21"/>
          <w:szCs w:val="21"/>
        </w:rPr>
        <w:t xml:space="preserve">Step 4 — </w:t>
      </w:r>
      <w:r>
        <w:rPr>
          <w:sz w:val="21"/>
          <w:szCs w:val="21"/>
        </w:rPr>
        <w:t xml:space="preserve">Conflicts (e.g., two family members editing the same record) resolve in favor of the most recent verified entry, with a visible log.</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No external data dependency — this is internal platform architecture, detailed further in Section 10.</w:t>
      </w:r>
    </w:p>
    <w:p>
      <w:pPr>
        <w:spacing w:after="60" w:before="140"/>
      </w:pPr>
      <w:r>
        <w:rPr>
          <w:b/>
          <w:bCs/>
          <w:i/>
          <w:iCs/>
          <w:color w:val="595959"/>
          <w:sz w:val="19"/>
          <w:szCs w:val="19"/>
        </w:rPr>
        <w:t xml:space="preserve">Primary Success Metric</w:t>
      </w:r>
    </w:p>
    <w:p>
      <w:pPr>
        <w:spacing w:after="100"/>
      </w:pPr>
      <w:r>
        <w:rPr>
          <w:sz w:val="21"/>
          <w:szCs w:val="21"/>
        </w:rPr>
        <w:t xml:space="preserve">7-day and 30-day return usage rate specifically on 2G/entry-level devices, tracked separately from higher-end-device usage to validate the offline design actually works in the field.</w:t>
      </w:r>
    </w:p>
    <w:p>
      <w:pPr>
        <w:spacing w:after="60" w:before="140"/>
      </w:pPr>
      <w:r>
        <w:rPr>
          <w:b/>
          <w:bCs/>
          <w:i/>
          <w:iCs/>
          <w:color w:val="595959"/>
          <w:sz w:val="19"/>
          <w:szCs w:val="19"/>
        </w:rPr>
        <w:t xml:space="preserve">Feasibility Note</w:t>
      </w:r>
    </w:p>
    <w:p>
      <w:pPr>
        <w:spacing w:after="60"/>
      </w:pPr>
      <w:r>
        <w:rPr>
          <w:sz w:val="21"/>
          <w:szCs w:val="21"/>
        </w:rPr>
        <w:t xml:space="preserve">Treat this as a blocking dependency for the rest of Phase 1, not a parallel workstream — every other module's data model should be designed offline-first from the start.</w:t>
      </w:r>
    </w:p>
    <w:p>
      <w:r>
        <w:br w:type="page"/>
      </w:r>
    </w:p>
    <w:p>
      <w:pPr>
        <w:pStyle w:val="Heading1"/>
        <w:spacing w:after="160" w:before="380"/>
      </w:pPr>
      <w:r>
        <w:t xml:space="preserve">7. Phase 2 — Growth Module Specifications (6–14 months)</w:t>
      </w:r>
    </w:p>
    <w:p>
      <w:pPr>
        <w:pStyle w:val="Heading2"/>
        <w:spacing w:after="120" w:before="260"/>
      </w:pPr>
      <w:r>
        <w:t xml:space="preserve">Module 6: Livestock &amp; Asset Micro-Insurance Estimator</w:t>
      </w:r>
    </w:p>
    <w:p>
      <w:pPr>
        <w:shd w:fill="2E7D32" w:val="clear"/>
        <w:spacing w:after="100" w:before="300"/>
      </w:pPr>
      <w:r>
        <w:rPr>
          <w:b/>
          <w:bCs/>
          <w:color w:val="FFFFFF"/>
          <w:sz w:val="17"/>
          <w:szCs w:val="17"/>
        </w:rPr>
        <w:t xml:space="preserve">  PHASE 2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For most rural households, wealth sits in cattle, tractors, pump sets, and small shop inventory — none of which is captured by a standard financial app built around stocks and bonds, and almost none of which is insured despite the catastrophic risk of loss.</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Calculates estimated replacement value for livestock, tractors, pump sets, and shop inventory.</w:t>
      </w:r>
    </w:p>
    <w:p>
      <w:pPr>
        <w:pStyle w:val="ListParagraph"/>
        <w:numPr>
          <w:ilvl w:val="0"/>
          <w:numId w:val="1"/>
        </w:numPr>
        <w:spacing w:after="80"/>
      </w:pPr>
      <w:r>
        <w:t xml:space="preserve">Surfaces relevant IRDAI-registered micro-insurance products and shows premium-vs-payout scenarios in plain language.</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adds assets (e.g., "2 cows, 1 pump set") with basic details.</w:t>
      </w:r>
    </w:p>
    <w:p>
      <w:pPr>
        <w:spacing w:after="80"/>
        <w:ind w:left="360"/>
      </w:pPr>
      <w:r>
        <w:rPr>
          <w:b/>
          <w:bCs/>
          <w:sz w:val="21"/>
          <w:szCs w:val="21"/>
        </w:rPr>
        <w:t xml:space="preserve">Step 2 — </w:t>
      </w:r>
      <w:r>
        <w:rPr>
          <w:sz w:val="21"/>
          <w:szCs w:val="21"/>
        </w:rPr>
        <w:t xml:space="preserve">App estimates current replacement value using regional price references.</w:t>
      </w:r>
    </w:p>
    <w:p>
      <w:pPr>
        <w:spacing w:after="80"/>
        <w:ind w:left="360"/>
      </w:pPr>
      <w:r>
        <w:rPr>
          <w:b/>
          <w:bCs/>
          <w:sz w:val="21"/>
          <w:szCs w:val="21"/>
        </w:rPr>
        <w:t xml:space="preserve">Step 3 — </w:t>
      </w:r>
      <w:r>
        <w:rPr>
          <w:sz w:val="21"/>
          <w:szCs w:val="21"/>
        </w:rPr>
        <w:t xml:space="preserve">App surfaces matching micro-insurance products with estimated annual premium and payout coverage.</w:t>
      </w:r>
    </w:p>
    <w:p>
      <w:pPr>
        <w:spacing w:after="80"/>
        <w:ind w:left="360"/>
      </w:pPr>
      <w:r>
        <w:rPr>
          <w:b/>
          <w:bCs/>
          <w:sz w:val="21"/>
          <w:szCs w:val="21"/>
        </w:rPr>
        <w:t xml:space="preserve">Step 4 — </w:t>
      </w:r>
      <w:r>
        <w:rPr>
          <w:sz w:val="21"/>
          <w:szCs w:val="21"/>
        </w:rPr>
        <w:t xml:space="preserve">User can compare 2–3 policy options side by side before deciding.</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Partnership with one or more IRDAI-registered micro-insurance providers or an insurance aggregator — this module cannot launch with a synthetic or unverified product catalog.</w:t>
      </w:r>
    </w:p>
    <w:p>
      <w:pPr>
        <w:spacing w:after="60" w:before="140"/>
      </w:pPr>
      <w:r>
        <w:rPr>
          <w:b/>
          <w:bCs/>
          <w:i/>
          <w:iCs/>
          <w:color w:val="595959"/>
          <w:sz w:val="19"/>
          <w:szCs w:val="19"/>
        </w:rPr>
        <w:t xml:space="preserve">Primary Success Metric</w:t>
      </w:r>
    </w:p>
    <w:p>
      <w:pPr>
        <w:spacing w:after="100"/>
      </w:pPr>
      <w:r>
        <w:rPr>
          <w:sz w:val="21"/>
          <w:szCs w:val="21"/>
        </w:rPr>
        <w:t xml:space="preserve">Number of users who initiate contact with an insurer or agent after using the estimator, tracked via a referral link or follow-up survey.</w:t>
      </w:r>
    </w:p>
    <w:p>
      <w:pPr>
        <w:spacing w:after="60" w:before="140"/>
      </w:pPr>
      <w:r>
        <w:rPr>
          <w:b/>
          <w:bCs/>
          <w:i/>
          <w:iCs/>
          <w:color w:val="595959"/>
          <w:sz w:val="19"/>
          <w:szCs w:val="19"/>
        </w:rPr>
        <w:t xml:space="preserve">Feasibility Note</w:t>
      </w:r>
    </w:p>
    <w:p>
      <w:pPr>
        <w:spacing w:after="60"/>
      </w:pPr>
      <w:r>
        <w:rPr>
          <w:sz w:val="21"/>
          <w:szCs w:val="21"/>
        </w:rPr>
        <w:t xml:space="preserve">Do not build without a signed data-sharing or referral agreement with at least one insurer; a placeholder product catalog would misrepresent real coverage terms.</w:t>
      </w:r>
    </w:p>
    <w:p>
      <w:pPr>
        <w:pStyle w:val="Heading2"/>
        <w:spacing w:after="120" w:before="260"/>
      </w:pPr>
      <w:r>
        <w:t xml:space="preserve">Module 7: Debt Comparison Tool</w:t>
      </w:r>
    </w:p>
    <w:p>
      <w:pPr>
        <w:shd w:fill="2E7D32" w:val="clear"/>
        <w:spacing w:after="100" w:before="300"/>
      </w:pPr>
      <w:r>
        <w:rPr>
          <w:b/>
          <w:bCs/>
          <w:color w:val="FFFFFF"/>
          <w:sz w:val="17"/>
          <w:szCs w:val="17"/>
        </w:rPr>
        <w:t xml:space="preserve">  PHASE 2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With average agricultural-household debt estimated near seven times monthly income, the gap between formal and informal borrowing costs is one of the largest levers on a household's financial trajectory — yet that true cost comparison is rarely made explicit.</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Compares the true annualized cost of informal moneylender debt against formal options (KCC, cooperative bank loans, SHG lending).</w:t>
      </w:r>
    </w:p>
    <w:p>
      <w:pPr>
        <w:pStyle w:val="ListParagraph"/>
        <w:numPr>
          <w:ilvl w:val="0"/>
          <w:numId w:val="1"/>
        </w:numPr>
        <w:spacing w:after="80"/>
      </w:pPr>
      <w:r>
        <w:t xml:space="preserve">Reuses the deterministic math engine already built for portfolio risk scoring, applied to debt cost instead of investment risk.</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enters loan amount, repayment terms, and interest arrangement (may be informal, e.g., "₹500 extra per ₹5,000 per month").</w:t>
      </w:r>
    </w:p>
    <w:p>
      <w:pPr>
        <w:spacing w:after="80"/>
        <w:ind w:left="360"/>
      </w:pPr>
      <w:r>
        <w:rPr>
          <w:b/>
          <w:bCs/>
          <w:sz w:val="21"/>
          <w:szCs w:val="21"/>
        </w:rPr>
        <w:t xml:space="preserve">Step 2 — </w:t>
      </w:r>
      <w:r>
        <w:rPr>
          <w:sz w:val="21"/>
          <w:szCs w:val="21"/>
        </w:rPr>
        <w:t xml:space="preserve">App converts this into a standardized effective annual interest rate.</w:t>
      </w:r>
    </w:p>
    <w:p>
      <w:pPr>
        <w:spacing w:after="80"/>
        <w:ind w:left="360"/>
      </w:pPr>
      <w:r>
        <w:rPr>
          <w:b/>
          <w:bCs/>
          <w:sz w:val="21"/>
          <w:szCs w:val="21"/>
        </w:rPr>
        <w:t xml:space="preserve">Step 3 — </w:t>
      </w:r>
      <w:r>
        <w:rPr>
          <w:sz w:val="21"/>
          <w:szCs w:val="21"/>
        </w:rPr>
        <w:t xml:space="preserve">App shows a side-by-side comparison against typical KCC or cooperative loan rates for the same amount.</w:t>
      </w:r>
    </w:p>
    <w:p>
      <w:pPr>
        <w:spacing w:after="80"/>
        <w:ind w:left="360"/>
      </w:pPr>
      <w:r>
        <w:rPr>
          <w:b/>
          <w:bCs/>
          <w:sz w:val="21"/>
          <w:szCs w:val="21"/>
        </w:rPr>
        <w:t xml:space="preserve">Step 4 — </w:t>
      </w:r>
      <w:r>
        <w:rPr>
          <w:sz w:val="21"/>
          <w:szCs w:val="21"/>
        </w:rPr>
        <w:t xml:space="preserve">App explains the comparison in plain language, without issuing a directive to switch lenders.</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No new external data required beyond current formal-lending benchmark rates (KCC, cooperative bank rates), which are publicly published.</w:t>
      </w:r>
    </w:p>
    <w:p>
      <w:pPr>
        <w:spacing w:after="60" w:before="140"/>
      </w:pPr>
      <w:r>
        <w:rPr>
          <w:b/>
          <w:bCs/>
          <w:i/>
          <w:iCs/>
          <w:color w:val="595959"/>
          <w:sz w:val="19"/>
          <w:szCs w:val="19"/>
        </w:rPr>
        <w:t xml:space="preserve">Primary Success Metric</w:t>
      </w:r>
    </w:p>
    <w:p>
      <w:pPr>
        <w:spacing w:after="100"/>
      </w:pPr>
      <w:r>
        <w:rPr>
          <w:sz w:val="21"/>
          <w:szCs w:val="21"/>
        </w:rPr>
        <w:t xml:space="preserve">Direct standalone build value — track usage frequency and the percentage of users who report contacting a formal lender after viewing a comparison.</w:t>
      </w:r>
    </w:p>
    <w:p>
      <w:pPr>
        <w:spacing w:after="60" w:before="140"/>
      </w:pPr>
      <w:r>
        <w:rPr>
          <w:b/>
          <w:bCs/>
          <w:i/>
          <w:iCs/>
          <w:color w:val="595959"/>
          <w:sz w:val="19"/>
          <w:szCs w:val="19"/>
        </w:rPr>
        <w:t xml:space="preserve">Feasibility Note</w:t>
      </w:r>
    </w:p>
    <w:p>
      <w:pPr>
        <w:spacing w:after="60"/>
      </w:pPr>
      <w:r>
        <w:rPr>
          <w:sz w:val="21"/>
          <w:szCs w:val="21"/>
        </w:rPr>
        <w:t xml:space="preserve">High feasibility, no new partnerships needed — a strong second build immediately after the MVP given it reuses existing infrastructure almost entirely.</w:t>
      </w:r>
    </w:p>
    <w:p>
      <w:pPr>
        <w:pStyle w:val="Heading2"/>
        <w:spacing w:after="120" w:before="260"/>
      </w:pPr>
      <w:r>
        <w:t xml:space="preserve">Module 8: Cooperative "Micro-Pool" Financing Dashboard</w:t>
      </w:r>
    </w:p>
    <w:p>
      <w:pPr>
        <w:shd w:fill="2E7D32" w:val="clear"/>
        <w:spacing w:after="100" w:before="300"/>
      </w:pPr>
      <w:r>
        <w:rPr>
          <w:b/>
          <w:bCs/>
          <w:color w:val="FFFFFF"/>
          <w:sz w:val="17"/>
          <w:szCs w:val="17"/>
        </w:rPr>
        <w:t xml:space="preserve">  PHASE 2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High-value equipment — pump sets, sprayers, eventually disease-detection tools — is often out of reach for a single smallholder, but informal equipment-sharing among neighboring farmers already happens with no structured way to track contributions or usage.</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Enables groups of 5–10 farmers to co-finance shared equipment with tracked member contributions.</w:t>
      </w:r>
    </w:p>
    <w:p>
      <w:pPr>
        <w:pStyle w:val="ListParagraph"/>
        <w:numPr>
          <w:ilvl w:val="0"/>
          <w:numId w:val="1"/>
        </w:numPr>
        <w:spacing w:after="80"/>
      </w:pPr>
      <w:r>
        <w:t xml:space="preserve">Schedules equipment usage and calculates each member's share of ROI based on field size and usage.</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Group lead creates a micro-pool and invites 4–9 other members.</w:t>
      </w:r>
    </w:p>
    <w:p>
      <w:pPr>
        <w:spacing w:after="80"/>
        <w:ind w:left="360"/>
      </w:pPr>
      <w:r>
        <w:rPr>
          <w:b/>
          <w:bCs/>
          <w:sz w:val="21"/>
          <w:szCs w:val="21"/>
        </w:rPr>
        <w:t xml:space="preserve">Step 2 — </w:t>
      </w:r>
      <w:r>
        <w:rPr>
          <w:sz w:val="21"/>
          <w:szCs w:val="21"/>
        </w:rPr>
        <w:t xml:space="preserve">Each member logs their contribution toward the shared equipment purchase.</w:t>
      </w:r>
    </w:p>
    <w:p>
      <w:pPr>
        <w:spacing w:after="80"/>
        <w:ind w:left="360"/>
      </w:pPr>
      <w:r>
        <w:rPr>
          <w:b/>
          <w:bCs/>
          <w:sz w:val="21"/>
          <w:szCs w:val="21"/>
        </w:rPr>
        <w:t xml:space="preserve">Step 3 — </w:t>
      </w:r>
      <w:r>
        <w:rPr>
          <w:sz w:val="21"/>
          <w:szCs w:val="21"/>
        </w:rPr>
        <w:t xml:space="preserve">App generates a usage calendar and tracks who used the equipment when.</w:t>
      </w:r>
    </w:p>
    <w:p>
      <w:pPr>
        <w:spacing w:after="80"/>
        <w:ind w:left="360"/>
      </w:pPr>
      <w:r>
        <w:rPr>
          <w:b/>
          <w:bCs/>
          <w:sz w:val="21"/>
          <w:szCs w:val="21"/>
        </w:rPr>
        <w:t xml:space="preserve">Step 4 — </w:t>
      </w:r>
      <w:r>
        <w:rPr>
          <w:sz w:val="21"/>
          <w:szCs w:val="21"/>
        </w:rPr>
        <w:t xml:space="preserve">At season end, app calculates each member's share of cost savings or output gain.</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No external data dependency for the core version; starts with equipment types already informally shared (pump sets, tillers) before assuming access to advanced robotics.</w:t>
      </w:r>
    </w:p>
    <w:p>
      <w:pPr>
        <w:spacing w:after="60" w:before="140"/>
      </w:pPr>
      <w:r>
        <w:rPr>
          <w:b/>
          <w:bCs/>
          <w:i/>
          <w:iCs/>
          <w:color w:val="595959"/>
          <w:sz w:val="19"/>
          <w:szCs w:val="19"/>
        </w:rPr>
        <w:t xml:space="preserve">Primary Success Metric</w:t>
      </w:r>
    </w:p>
    <w:p>
      <w:pPr>
        <w:spacing w:after="100"/>
      </w:pPr>
      <w:r>
        <w:rPr>
          <w:sz w:val="21"/>
          <w:szCs w:val="21"/>
        </w:rPr>
        <w:t xml:space="preserve">Number of active micro-pools with at least 3 logged equipment-usage events per season.</w:t>
      </w:r>
    </w:p>
    <w:p>
      <w:pPr>
        <w:spacing w:after="60" w:before="140"/>
      </w:pPr>
      <w:r>
        <w:rPr>
          <w:b/>
          <w:bCs/>
          <w:i/>
          <w:iCs/>
          <w:color w:val="595959"/>
          <w:sz w:val="19"/>
          <w:szCs w:val="19"/>
        </w:rPr>
        <w:t xml:space="preserve">Feasibility Note</w:t>
      </w:r>
    </w:p>
    <w:p>
      <w:pPr>
        <w:spacing w:after="60"/>
      </w:pPr>
      <w:r>
        <w:rPr>
          <w:sz w:val="21"/>
          <w:szCs w:val="21"/>
        </w:rPr>
        <w:t xml:space="preserve">Straightforward group-ledger software; the main risk is adoption, not engineering — pilot with an existing informal equipment-sharing group rather than forming a new one from scratch.</w:t>
      </w:r>
    </w:p>
    <w:p>
      <w:pPr>
        <w:pStyle w:val="Heading2"/>
        <w:spacing w:after="120" w:before="260"/>
      </w:pPr>
      <w:r>
        <w:t xml:space="preserve">Module 9: SHG (Self-Help Group) Dashboard</w:t>
      </w:r>
    </w:p>
    <w:p>
      <w:pPr>
        <w:shd w:fill="2E7D32" w:val="clear"/>
        <w:spacing w:after="100" w:before="300"/>
      </w:pPr>
      <w:r>
        <w:rPr>
          <w:b/>
          <w:bCs/>
          <w:color w:val="FFFFFF"/>
          <w:sz w:val="17"/>
          <w:szCs w:val="17"/>
        </w:rPr>
        <w:t xml:space="preserve">  PHASE 2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Much of rural India's group savings happens through SHGs and Joint Liability Groups, currently tracked on paper by a volunteer treasurer like Kalaivani — a process that is time-consuming and error-prone at scale.</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Shared dashboard for SHG or JLG leaders: aggregated savings, rotating credit tracking, and repayment status across members.</w:t>
      </w:r>
    </w:p>
    <w:p>
      <w:pPr>
        <w:pStyle w:val="ListParagraph"/>
        <w:numPr>
          <w:ilvl w:val="0"/>
          <w:numId w:val="1"/>
        </w:numPr>
        <w:spacing w:after="80"/>
      </w:pPr>
      <w:r>
        <w:t xml:space="preserve">Simple per-member view so any member can check their own contribution and repayment status without asking the treasurer.</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Treasurer sets up the group with member list and rotation schedule.</w:t>
      </w:r>
    </w:p>
    <w:p>
      <w:pPr>
        <w:spacing w:after="80"/>
        <w:ind w:left="360"/>
      </w:pPr>
      <w:r>
        <w:rPr>
          <w:b/>
          <w:bCs/>
          <w:sz w:val="21"/>
          <w:szCs w:val="21"/>
        </w:rPr>
        <w:t xml:space="preserve">Step 2 — </w:t>
      </w:r>
      <w:r>
        <w:rPr>
          <w:sz w:val="21"/>
          <w:szCs w:val="21"/>
        </w:rPr>
        <w:t xml:space="preserve">Each meeting, treasurer logs contributions and any credit disbursed.</w:t>
      </w:r>
    </w:p>
    <w:p>
      <w:pPr>
        <w:spacing w:after="80"/>
        <w:ind w:left="360"/>
      </w:pPr>
      <w:r>
        <w:rPr>
          <w:b/>
          <w:bCs/>
          <w:sz w:val="21"/>
          <w:szCs w:val="21"/>
        </w:rPr>
        <w:t xml:space="preserve">Step 3 — </w:t>
      </w:r>
      <w:r>
        <w:rPr>
          <w:sz w:val="21"/>
          <w:szCs w:val="21"/>
        </w:rPr>
        <w:t xml:space="preserve">Dashboard flags members approaching a repayment deadline.</w:t>
      </w:r>
    </w:p>
    <w:p>
      <w:pPr>
        <w:spacing w:after="80"/>
        <w:ind w:left="360"/>
      </w:pPr>
      <w:r>
        <w:rPr>
          <w:b/>
          <w:bCs/>
          <w:sz w:val="21"/>
          <w:szCs w:val="21"/>
        </w:rPr>
        <w:t xml:space="preserve">Step 4 — </w:t>
      </w:r>
      <w:r>
        <w:rPr>
          <w:sz w:val="21"/>
          <w:szCs w:val="21"/>
        </w:rPr>
        <w:t xml:space="preserve">Members can view their own status independently via their own login.</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No external data dependency — internal group-ledger logic.</w:t>
      </w:r>
    </w:p>
    <w:p>
      <w:pPr>
        <w:spacing w:after="60" w:before="140"/>
      </w:pPr>
      <w:r>
        <w:rPr>
          <w:b/>
          <w:bCs/>
          <w:i/>
          <w:iCs/>
          <w:color w:val="595959"/>
          <w:sz w:val="19"/>
          <w:szCs w:val="19"/>
        </w:rPr>
        <w:t xml:space="preserve">Primary Success Metric</w:t>
      </w:r>
    </w:p>
    <w:p>
      <w:pPr>
        <w:spacing w:after="100"/>
      </w:pPr>
      <w:r>
        <w:rPr>
          <w:sz w:val="21"/>
          <w:szCs w:val="21"/>
        </w:rPr>
        <w:t xml:space="preserve">Percentage reduction in repayment delinquency within pilot SHGs compared to their prior paper-based tracking, measured over two rotation cycles.</w:t>
      </w:r>
    </w:p>
    <w:p>
      <w:pPr>
        <w:spacing w:after="60" w:before="140"/>
      </w:pPr>
      <w:r>
        <w:rPr>
          <w:b/>
          <w:bCs/>
          <w:i/>
          <w:iCs/>
          <w:color w:val="595959"/>
          <w:sz w:val="19"/>
          <w:szCs w:val="19"/>
        </w:rPr>
        <w:t xml:space="preserve">Feasibility Note</w:t>
      </w:r>
    </w:p>
    <w:p>
      <w:pPr>
        <w:spacing w:after="60"/>
      </w:pPr>
      <w:r>
        <w:rPr>
          <w:sz w:val="21"/>
          <w:szCs w:val="21"/>
        </w:rPr>
        <w:t xml:space="preserve">High feasibility; closely mirrors Module 7's ledger logic. Best piloted directly with Kalaivani-persona treasurers for UI feedback before wider rollout.</w:t>
      </w:r>
    </w:p>
    <w:p>
      <w:r>
        <w:br w:type="page"/>
      </w:r>
    </w:p>
    <w:p>
      <w:pPr>
        <w:pStyle w:val="Heading1"/>
        <w:spacing w:after="160" w:before="380"/>
      </w:pPr>
      <w:r>
        <w:t xml:space="preserve">8. Phase 3 — Frontier Module Specifications (Partnership-Dependent)</w:t>
      </w:r>
    </w:p>
    <w:p>
      <w:pPr>
        <w:spacing w:after="140"/>
      </w:pPr>
      <w:r>
        <w:rPr>
          <w:sz w:val="21"/>
          <w:szCs w:val="21"/>
        </w:rPr>
        <w:t xml:space="preserve">These retain the ambition of the original blueprint but are explicitly reframed: FinX's role is integration and visualization, not building the underlying science, sensors, or health infrastructure from scratch.</w:t>
      </w:r>
    </w:p>
    <w:p>
      <w:pPr>
        <w:pStyle w:val="Heading2"/>
        <w:spacing w:after="120" w:before="260"/>
      </w:pPr>
      <w:r>
        <w:t xml:space="preserve">Module 10: Soil Health &amp; Input Cost Optimizer</w:t>
      </w:r>
    </w:p>
    <w:p>
      <w:pPr>
        <w:shd w:fill="B8860B" w:val="clear"/>
        <w:spacing w:after="100" w:before="300"/>
      </w:pPr>
      <w:r>
        <w:rPr>
          <w:b/>
          <w:bCs/>
          <w:color w:val="FFFFFF"/>
          <w:sz w:val="17"/>
          <w:szCs w:val="17"/>
        </w:rPr>
        <w:t xml:space="preserve">  PHASE 3 · PARTNERSHIP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Excessive or poorly-timed fertilizer use is a major avoidable cost for smallholders, but existing soil health card data is often issued on paper and never translated into an actionable, cost-specific recommendation.</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Parses existing soil lab reports (from the government Soil Health Card scheme or agricultural university labs) rather than requiring new sensor hardware.</w:t>
      </w:r>
    </w:p>
    <w:p>
      <w:pPr>
        <w:pStyle w:val="ListParagraph"/>
        <w:numPr>
          <w:ilvl w:val="0"/>
          <w:numId w:val="1"/>
        </w:numPr>
        <w:spacing w:after="80"/>
      </w:pPr>
      <w:r>
        <w:t xml:space="preserve">Translates N-P-K values into fertilizer application recommendations and shows expected cost savings per acre.</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 photographs or uploads their existing Soil Health Card.</w:t>
      </w:r>
    </w:p>
    <w:p>
      <w:pPr>
        <w:spacing w:after="80"/>
        <w:ind w:left="360"/>
      </w:pPr>
      <w:r>
        <w:rPr>
          <w:b/>
          <w:bCs/>
          <w:sz w:val="21"/>
          <w:szCs w:val="21"/>
        </w:rPr>
        <w:t xml:space="preserve">Step 2 — </w:t>
      </w:r>
      <w:r>
        <w:rPr>
          <w:sz w:val="21"/>
          <w:szCs w:val="21"/>
        </w:rPr>
        <w:t xml:space="preserve">OCR extracts N-P-K values and other key readings.</w:t>
      </w:r>
    </w:p>
    <w:p>
      <w:pPr>
        <w:spacing w:after="80"/>
        <w:ind w:left="360"/>
      </w:pPr>
      <w:r>
        <w:rPr>
          <w:b/>
          <w:bCs/>
          <w:sz w:val="21"/>
          <w:szCs w:val="21"/>
        </w:rPr>
        <w:t xml:space="preserve">Step 3 — </w:t>
      </w:r>
      <w:r>
        <w:rPr>
          <w:sz w:val="21"/>
          <w:szCs w:val="21"/>
        </w:rPr>
        <w:t xml:space="preserve">App recommends fertilizer type and quantity, with an estimated cost saving versus current practice.</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Partnership path: state Soil Health Card program, local Krishi Vigyan Kendras (KVKs) for validation of recommendation logic.</w:t>
      </w:r>
    </w:p>
    <w:p>
      <w:pPr>
        <w:spacing w:after="60" w:before="140"/>
      </w:pPr>
      <w:r>
        <w:rPr>
          <w:b/>
          <w:bCs/>
          <w:i/>
          <w:iCs/>
          <w:color w:val="595959"/>
          <w:sz w:val="19"/>
          <w:szCs w:val="19"/>
        </w:rPr>
        <w:t xml:space="preserve">Primary Success Metric</w:t>
      </w:r>
    </w:p>
    <w:p>
      <w:pPr>
        <w:spacing w:after="100"/>
      </w:pPr>
      <w:r>
        <w:rPr>
          <w:sz w:val="21"/>
          <w:szCs w:val="21"/>
        </w:rPr>
        <w:t xml:space="preserve">Average estimated cost saving per acre reported to users, validated against actual input purchase records where a KVK partnership allows follow-up.</w:t>
      </w:r>
    </w:p>
    <w:p>
      <w:pPr>
        <w:spacing w:after="60" w:before="140"/>
      </w:pPr>
      <w:r>
        <w:rPr>
          <w:b/>
          <w:bCs/>
          <w:i/>
          <w:iCs/>
          <w:color w:val="595959"/>
          <w:sz w:val="19"/>
          <w:szCs w:val="19"/>
        </w:rPr>
        <w:t xml:space="preserve">Feasibility Note</w:t>
      </w:r>
    </w:p>
    <w:p>
      <w:pPr>
        <w:spacing w:after="60"/>
      </w:pPr>
      <w:r>
        <w:rPr>
          <w:sz w:val="21"/>
          <w:szCs w:val="21"/>
        </w:rPr>
        <w:t xml:space="preserve">Do not attempt to build soil-sensor hardware or an independent recommendation model — the agronomic logic should be reviewed and signed off by a KVK or university partner before launch.</w:t>
      </w:r>
    </w:p>
    <w:p>
      <w:pPr>
        <w:pStyle w:val="Heading2"/>
        <w:spacing w:after="120" w:before="260"/>
      </w:pPr>
      <w:r>
        <w:t xml:space="preserve">Module 11: Environmental Risk &amp; Yield Forecaster</w:t>
      </w:r>
    </w:p>
    <w:p>
      <w:pPr>
        <w:shd w:fill="B8860B" w:val="clear"/>
        <w:spacing w:after="100" w:before="300"/>
      </w:pPr>
      <w:r>
        <w:rPr>
          <w:b/>
          <w:bCs/>
          <w:color w:val="FFFFFF"/>
          <w:sz w:val="17"/>
          <w:szCs w:val="17"/>
        </w:rPr>
        <w:t xml:space="preserve">  PHASE 3 · PARTNERSHIP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Groundwater depletion and land degradation directly threaten long-term household financial stability, but this information is scattered across government monitoring bodies and rarely reaches the individual farmer in an actionable form.</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Ingests existing groundwater and soil-quality data from government and agricultural university sources — no new sensor network built by FinX.</w:t>
      </w:r>
    </w:p>
    <w:p>
      <w:pPr>
        <w:pStyle w:val="ListParagraph"/>
        <w:numPr>
          <w:ilvl w:val="0"/>
          <w:numId w:val="1"/>
        </w:numPr>
        <w:spacing w:after="80"/>
      </w:pPr>
      <w:r>
        <w:t xml:space="preserve">Recommends crop diversification options for long-term land health, framed as informational guidance rather than a directive.</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User's district and land data is matched against the latest available groundwater/soil reports.</w:t>
      </w:r>
    </w:p>
    <w:p>
      <w:pPr>
        <w:spacing w:after="80"/>
        <w:ind w:left="360"/>
      </w:pPr>
      <w:r>
        <w:rPr>
          <w:b/>
          <w:bCs/>
          <w:sz w:val="21"/>
          <w:szCs w:val="21"/>
        </w:rPr>
        <w:t xml:space="preserve">Step 2 — </w:t>
      </w:r>
      <w:r>
        <w:rPr>
          <w:sz w:val="21"/>
          <w:szCs w:val="21"/>
        </w:rPr>
        <w:t xml:space="preserve">App shows a simple risk indicator (e.g., groundwater declining, stable, improving) for the user's area.</w:t>
      </w:r>
    </w:p>
    <w:p>
      <w:pPr>
        <w:spacing w:after="80"/>
        <w:ind w:left="360"/>
      </w:pPr>
      <w:r>
        <w:rPr>
          <w:b/>
          <w:bCs/>
          <w:sz w:val="21"/>
          <w:szCs w:val="21"/>
        </w:rPr>
        <w:t xml:space="preserve">Step 3 — </w:t>
      </w:r>
      <w:r>
        <w:rPr>
          <w:sz w:val="21"/>
          <w:szCs w:val="21"/>
        </w:rPr>
        <w:t xml:space="preserve">App suggests 2–3 alternative or complementary crops suited to the local risk profile, with a note to consult a local KVK before changing crops.</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Partnership path: Central/State Ground Water Board data, ICAR regional institutes.</w:t>
      </w:r>
    </w:p>
    <w:p>
      <w:pPr>
        <w:spacing w:after="60" w:before="140"/>
      </w:pPr>
      <w:r>
        <w:rPr>
          <w:b/>
          <w:bCs/>
          <w:i/>
          <w:iCs/>
          <w:color w:val="595959"/>
          <w:sz w:val="19"/>
          <w:szCs w:val="19"/>
        </w:rPr>
        <w:t xml:space="preserve">Primary Success Metric</w:t>
      </w:r>
    </w:p>
    <w:p>
      <w:pPr>
        <w:spacing w:after="100"/>
      </w:pPr>
      <w:r>
        <w:rPr>
          <w:sz w:val="21"/>
          <w:szCs w:val="21"/>
        </w:rPr>
        <w:t xml:space="preserve">Not a Phase 1 metric — track only after a data partnership is signed; initial metric would be the number of districts with verified data coverage.</w:t>
      </w:r>
    </w:p>
    <w:p>
      <w:pPr>
        <w:spacing w:after="60" w:before="140"/>
      </w:pPr>
      <w:r>
        <w:rPr>
          <w:b/>
          <w:bCs/>
          <w:i/>
          <w:iCs/>
          <w:color w:val="595959"/>
          <w:sz w:val="19"/>
          <w:szCs w:val="19"/>
        </w:rPr>
        <w:t xml:space="preserve">Feasibility Note</w:t>
      </w:r>
    </w:p>
    <w:p>
      <w:pPr>
        <w:spacing w:after="60"/>
      </w:pPr>
      <w:r>
        <w:rPr>
          <w:sz w:val="21"/>
          <w:szCs w:val="21"/>
        </w:rPr>
        <w:t xml:space="preserve">This module cannot begin engineering work until a data-sharing agreement exists — it should sit in the backlog, not the roadmap, until that agreement is in place.</w:t>
      </w:r>
    </w:p>
    <w:p>
      <w:pPr>
        <w:pStyle w:val="Heading2"/>
        <w:spacing w:after="120" w:before="260"/>
      </w:pPr>
      <w:r>
        <w:t xml:space="preserve">Module 12: Community Health &amp; Financial Safety Net</w:t>
      </w:r>
    </w:p>
    <w:p>
      <w:pPr>
        <w:shd w:fill="B8860B" w:val="clear"/>
        <w:spacing w:after="100" w:before="300"/>
      </w:pPr>
      <w:r>
        <w:rPr>
          <w:b/>
          <w:bCs/>
          <w:color w:val="FFFFFF"/>
          <w:sz w:val="17"/>
          <w:szCs w:val="17"/>
        </w:rPr>
        <w:t xml:space="preserve">  PHASE 3 · PARTNERSHIP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Health crises are one of the most common drivers of rural debt — Murugan's own informal loan in his persona above was for a medical expense — but this is also the most sensitive data category FinX could touch, and requires far stronger privacy handling than financial data.</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Integrates with existing public health alert channels (state health department advisories, ASHA worker networks) rather than building independent disease surveillance.</w:t>
      </w:r>
    </w:p>
    <w:p>
      <w:pPr>
        <w:pStyle w:val="ListParagraph"/>
        <w:numPr>
          <w:ilvl w:val="0"/>
          <w:numId w:val="1"/>
        </w:numPr>
        <w:spacing w:after="80"/>
      </w:pPr>
      <w:r>
        <w:t xml:space="preserve">On receiving a public regional health advisory, nudges households or SHGs to review emergency savings — the financial-planning layer stays inside FinX; individual health data stays with the health authority.</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A public regional health advisory is issued by the state health department or an ASHA network partner.</w:t>
      </w:r>
    </w:p>
    <w:p>
      <w:pPr>
        <w:spacing w:after="80"/>
        <w:ind w:left="360"/>
      </w:pPr>
      <w:r>
        <w:rPr>
          <w:b/>
          <w:bCs/>
          <w:sz w:val="21"/>
          <w:szCs w:val="21"/>
        </w:rPr>
        <w:t xml:space="preserve">Step 2 — </w:t>
      </w:r>
      <w:r>
        <w:rPr>
          <w:sz w:val="21"/>
          <w:szCs w:val="21"/>
        </w:rPr>
        <w:t xml:space="preserve">FinX receives the advisory (not any individual's health data) and identifies households in the affected area who have opted in.</w:t>
      </w:r>
    </w:p>
    <w:p>
      <w:pPr>
        <w:spacing w:after="80"/>
        <w:ind w:left="360"/>
      </w:pPr>
      <w:r>
        <w:rPr>
          <w:b/>
          <w:bCs/>
          <w:sz w:val="21"/>
          <w:szCs w:val="21"/>
        </w:rPr>
        <w:t xml:space="preserve">Step 3 — </w:t>
      </w:r>
      <w:r>
        <w:rPr>
          <w:sz w:val="21"/>
          <w:szCs w:val="21"/>
        </w:rPr>
        <w:t xml:space="preserve">Opted-in users receive a nudge suggesting a review of their emergency savings buffer, with no health details attached.</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Formal integration with a state health department or NGO/ASHA-worker network; explicit opt-in required; no individual health data stored by FinX under any circumstance.</w:t>
      </w:r>
    </w:p>
    <w:p>
      <w:pPr>
        <w:spacing w:after="60" w:before="140"/>
      </w:pPr>
      <w:r>
        <w:rPr>
          <w:b/>
          <w:bCs/>
          <w:i/>
          <w:iCs/>
          <w:color w:val="595959"/>
          <w:sz w:val="19"/>
          <w:szCs w:val="19"/>
        </w:rPr>
        <w:t xml:space="preserve">Primary Success Metric</w:t>
      </w:r>
    </w:p>
    <w:p>
      <w:pPr>
        <w:spacing w:after="100"/>
      </w:pPr>
      <w:r>
        <w:rPr>
          <w:sz w:val="21"/>
          <w:szCs w:val="21"/>
        </w:rPr>
        <w:t xml:space="preserve">Not applicable until a health-sector partnership and legal/privacy review are complete.</w:t>
      </w:r>
    </w:p>
    <w:p>
      <w:pPr>
        <w:spacing w:after="60" w:before="140"/>
      </w:pPr>
      <w:r>
        <w:rPr>
          <w:b/>
          <w:bCs/>
          <w:i/>
          <w:iCs/>
          <w:color w:val="595959"/>
          <w:sz w:val="19"/>
          <w:szCs w:val="19"/>
        </w:rPr>
        <w:t xml:space="preserve">Feasibility Note</w:t>
      </w:r>
    </w:p>
    <w:p>
      <w:pPr>
        <w:spacing w:after="60"/>
      </w:pPr>
      <w:r>
        <w:rPr>
          <w:sz w:val="21"/>
          <w:szCs w:val="21"/>
        </w:rPr>
        <w:t xml:space="preserve">The highest-risk module in this document from a trust and privacy standpoint. Requires legal review before any design work begins, and should launch only through a named health-sector partner, never as a FinX-run health feature.</w:t>
      </w:r>
    </w:p>
    <w:p>
      <w:pPr>
        <w:pStyle w:val="Heading2"/>
        <w:spacing w:after="120" w:before="260"/>
      </w:pPr>
      <w:r>
        <w:t xml:space="preserve">Module 13: Local Youth Opportunity &amp; Upskilling Engine</w:t>
      </w:r>
    </w:p>
    <w:p>
      <w:pPr>
        <w:shd w:fill="B8860B" w:val="clear"/>
        <w:spacing w:after="100" w:before="300"/>
      </w:pPr>
      <w:r>
        <w:rPr>
          <w:b/>
          <w:bCs/>
          <w:color w:val="FFFFFF"/>
          <w:sz w:val="17"/>
          <w:szCs w:val="17"/>
        </w:rPr>
        <w:t xml:space="preserve">  PHASE 3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Young people in tier-2/3 districts, like the Arun persona, often have some digital skill but limited access to formal job networks connecting them to remote or local opportunities.</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Parses student resumes or skill self-assessments to identify core capabilities (e.g., basic programming, web development, field robotics).</w:t>
      </w:r>
    </w:p>
    <w:p>
      <w:pPr>
        <w:pStyle w:val="ListParagraph"/>
        <w:numPr>
          <w:ilvl w:val="0"/>
          <w:numId w:val="1"/>
        </w:numPr>
        <w:spacing w:after="80"/>
      </w:pPr>
      <w:r>
        <w:t xml:space="preserve">Connects local youth with skill-building programs and remote employment or internship opportunities.</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Young user fills a short skills profile or uploads a resume.</w:t>
      </w:r>
    </w:p>
    <w:p>
      <w:pPr>
        <w:spacing w:after="80"/>
        <w:ind w:left="360"/>
      </w:pPr>
      <w:r>
        <w:rPr>
          <w:b/>
          <w:bCs/>
          <w:sz w:val="21"/>
          <w:szCs w:val="21"/>
        </w:rPr>
        <w:t xml:space="preserve">Step 2 — </w:t>
      </w:r>
      <w:r>
        <w:rPr>
          <w:sz w:val="21"/>
          <w:szCs w:val="21"/>
        </w:rPr>
        <w:t xml:space="preserve">App matches against a curated list of internships, courses, or remote gigs relevant to tier-2/3 candidates.</w:t>
      </w:r>
    </w:p>
    <w:p>
      <w:pPr>
        <w:spacing w:after="80"/>
        <w:ind w:left="360"/>
      </w:pPr>
      <w:r>
        <w:rPr>
          <w:b/>
          <w:bCs/>
          <w:sz w:val="21"/>
          <w:szCs w:val="21"/>
        </w:rPr>
        <w:t xml:space="preserve">Step 3 — </w:t>
      </w:r>
      <w:r>
        <w:rPr>
          <w:sz w:val="21"/>
          <w:szCs w:val="21"/>
        </w:rPr>
        <w:t xml:space="preserve">User applies directly through the linked program, with FinX facilitating discovery only.</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Partnerships with skilling programs (e.g., state skill development missions, NGOs, remote-work platforms with rural hiring initiatives).</w:t>
      </w:r>
    </w:p>
    <w:p>
      <w:pPr>
        <w:spacing w:after="60" w:before="140"/>
      </w:pPr>
      <w:r>
        <w:rPr>
          <w:b/>
          <w:bCs/>
          <w:i/>
          <w:iCs/>
          <w:color w:val="595959"/>
          <w:sz w:val="19"/>
          <w:szCs w:val="19"/>
        </w:rPr>
        <w:t xml:space="preserve">Primary Success Metric</w:t>
      </w:r>
    </w:p>
    <w:p>
      <w:pPr>
        <w:spacing w:after="100"/>
      </w:pPr>
      <w:r>
        <w:rPr>
          <w:sz w:val="21"/>
          <w:szCs w:val="21"/>
        </w:rPr>
        <w:t xml:space="preserve">Number of youth users who complete an application to a matched opportunity.</w:t>
      </w:r>
    </w:p>
    <w:p>
      <w:pPr>
        <w:spacing w:after="60" w:before="140"/>
      </w:pPr>
      <w:r>
        <w:rPr>
          <w:b/>
          <w:bCs/>
          <w:i/>
          <w:iCs/>
          <w:color w:val="595959"/>
          <w:sz w:val="19"/>
          <w:szCs w:val="19"/>
        </w:rPr>
        <w:t xml:space="preserve">Feasibility Note</w:t>
      </w:r>
    </w:p>
    <w:p>
      <w:pPr>
        <w:spacing w:after="60"/>
      </w:pPr>
      <w:r>
        <w:rPr>
          <w:sz w:val="21"/>
          <w:szCs w:val="21"/>
        </w:rPr>
        <w:t xml:space="preserve">This is a distinct product surface (job-matching) from the rest of FinX's financial focus. Evaluate as a linked companion feature or separate module rather than folding it into the core dashboard, to avoid diluting the primary use case.</w:t>
      </w:r>
    </w:p>
    <w:p>
      <w:pPr>
        <w:pStyle w:val="Heading2"/>
        <w:spacing w:after="120" w:before="260"/>
      </w:pPr>
      <w:r>
        <w:t xml:space="preserve">Module 14: Crop-Disease Detection Robotics Integration</w:t>
      </w:r>
    </w:p>
    <w:p>
      <w:pPr>
        <w:shd w:fill="B8860B" w:val="clear"/>
        <w:spacing w:after="100" w:before="300"/>
      </w:pPr>
      <w:r>
        <w:rPr>
          <w:b/>
          <w:bCs/>
          <w:color w:val="FFFFFF"/>
          <w:sz w:val="17"/>
          <w:szCs w:val="17"/>
        </w:rPr>
        <w:t xml:space="preserve">  PHASE 3  </w:t>
      </w:r>
    </w:p>
    <w:p>
      <w:pPr>
        <w:spacing w:after="60" w:before="140"/>
      </w:pPr>
      <w:r>
        <w:rPr>
          <w:b/>
          <w:bCs/>
          <w:i w:val="false"/>
          <w:iCs w:val="false"/>
          <w:color w:val="1F3A5F"/>
          <w:sz w:val="19"/>
          <w:szCs w:val="19"/>
        </w:rPr>
        <w:t xml:space="preserve">The Problem It Solves</w:t>
      </w:r>
    </w:p>
    <w:p>
      <w:pPr>
        <w:spacing w:after="140"/>
      </w:pPr>
      <w:r>
        <w:rPr>
          <w:sz w:val="21"/>
          <w:szCs w:val="21"/>
        </w:rPr>
        <w:t xml:space="preserve">Early crop-disease detection can prevent major yield loss, but the computer-vision hardware capable of it is expensive and out of reach for individual smallholders — this is where Module 8's cooperative financing becomes directly relevant.</w:t>
      </w:r>
    </w:p>
    <w:p>
      <w:pPr>
        <w:spacing w:after="60" w:before="140"/>
      </w:pPr>
      <w:r>
        <w:rPr>
          <w:b/>
          <w:bCs/>
          <w:i w:val="false"/>
          <w:iCs w:val="false"/>
          <w:color w:val="1F3A5F"/>
          <w:sz w:val="19"/>
          <w:szCs w:val="19"/>
        </w:rPr>
        <w:t xml:space="preserve">Core Features</w:t>
      </w:r>
    </w:p>
    <w:p>
      <w:pPr>
        <w:pStyle w:val="ListParagraph"/>
        <w:numPr>
          <w:ilvl w:val="0"/>
          <w:numId w:val="1"/>
        </w:numPr>
        <w:spacing w:after="80"/>
      </w:pPr>
      <w:r>
        <w:t xml:space="preserve">FinX tracks cooperative financing and usage scheduling for shared disease-detection devices (via Module 8's micro-pool dashboard).</w:t>
      </w:r>
    </w:p>
    <w:p>
      <w:pPr>
        <w:pStyle w:val="ListParagraph"/>
        <w:numPr>
          <w:ilvl w:val="0"/>
          <w:numId w:val="1"/>
        </w:numPr>
        <w:spacing w:after="80"/>
      </w:pPr>
      <w:r>
        <w:t xml:space="preserve">Surfaces disease-detection results from third-party hardware or research-lab tools inside the farmer's dashboard.</w:t>
      </w:r>
    </w:p>
    <w:p>
      <w:pPr>
        <w:spacing w:after="60" w:before="140"/>
      </w:pPr>
      <w:r>
        <w:rPr>
          <w:b/>
          <w:bCs/>
          <w:i w:val="false"/>
          <w:iCs w:val="false"/>
          <w:color w:val="1F3A5F"/>
          <w:sz w:val="19"/>
          <w:szCs w:val="19"/>
        </w:rPr>
        <w:t xml:space="preserve">Typical User Flow</w:t>
      </w:r>
    </w:p>
    <w:p>
      <w:pPr>
        <w:spacing w:after="80"/>
        <w:ind w:left="360"/>
      </w:pPr>
      <w:r>
        <w:rPr>
          <w:b/>
          <w:bCs/>
          <w:sz w:val="21"/>
          <w:szCs w:val="21"/>
        </w:rPr>
        <w:t xml:space="preserve">Step 1 — </w:t>
      </w:r>
      <w:r>
        <w:rPr>
          <w:sz w:val="21"/>
          <w:szCs w:val="21"/>
        </w:rPr>
        <w:t xml:space="preserve">A micro-pool (Module 8) co-finances a shared crop-disease detection device from a third-party vendor.</w:t>
      </w:r>
    </w:p>
    <w:p>
      <w:pPr>
        <w:spacing w:after="80"/>
        <w:ind w:left="360"/>
      </w:pPr>
      <w:r>
        <w:rPr>
          <w:b/>
          <w:bCs/>
          <w:sz w:val="21"/>
          <w:szCs w:val="21"/>
        </w:rPr>
        <w:t xml:space="preserve">Step 2 — </w:t>
      </w:r>
      <w:r>
        <w:rPr>
          <w:sz w:val="21"/>
          <w:szCs w:val="21"/>
        </w:rPr>
        <w:t xml:space="preserve">Device output (detected disease, confidence level, recommended action) is pushed to FinX via API.</w:t>
      </w:r>
    </w:p>
    <w:p>
      <w:pPr>
        <w:spacing w:after="80"/>
        <w:ind w:left="360"/>
      </w:pPr>
      <w:r>
        <w:rPr>
          <w:b/>
          <w:bCs/>
          <w:sz w:val="21"/>
          <w:szCs w:val="21"/>
        </w:rPr>
        <w:t xml:space="preserve">Step 3 — </w:t>
      </w:r>
      <w:r>
        <w:rPr>
          <w:sz w:val="21"/>
          <w:szCs w:val="21"/>
        </w:rPr>
        <w:t xml:space="preserve">Result appears in the relevant farmers' dashboards alongside their crop and financial data.</w:t>
      </w:r>
    </w:p>
    <w:p>
      <w:pPr>
        <w:spacing w:after="60" w:before="140"/>
      </w:pPr>
      <w:r>
        <w:rPr>
          <w:b/>
          <w:bCs/>
          <w:i w:val="false"/>
          <w:iCs w:val="false"/>
          <w:color w:val="1F3A5F"/>
          <w:sz w:val="19"/>
          <w:szCs w:val="19"/>
        </w:rPr>
        <w:t xml:space="preserve">Data Sources &amp; Partnerships Needed</w:t>
      </w:r>
    </w:p>
    <w:p>
      <w:pPr>
        <w:pStyle w:val="ListParagraph"/>
        <w:numPr>
          <w:ilvl w:val="0"/>
          <w:numId w:val="1"/>
        </w:numPr>
        <w:spacing w:after="80"/>
      </w:pPr>
      <w:r>
        <w:t xml:space="preserve">API integration with an existing agri-tech hardware vendor or research-lab tool — FinX explicitly does not build computer-vision models or hardware.</w:t>
      </w:r>
    </w:p>
    <w:p>
      <w:pPr>
        <w:spacing w:after="60" w:before="140"/>
      </w:pPr>
      <w:r>
        <w:rPr>
          <w:b/>
          <w:bCs/>
          <w:i/>
          <w:iCs/>
          <w:color w:val="595959"/>
          <w:sz w:val="19"/>
          <w:szCs w:val="19"/>
        </w:rPr>
        <w:t xml:space="preserve">Primary Success Metric</w:t>
      </w:r>
    </w:p>
    <w:p>
      <w:pPr>
        <w:spacing w:after="100"/>
      </w:pPr>
      <w:r>
        <w:rPr>
          <w:sz w:val="21"/>
          <w:szCs w:val="21"/>
        </w:rPr>
        <w:t xml:space="preserve">Not applicable until a hardware-vendor integration exists.</w:t>
      </w:r>
    </w:p>
    <w:p>
      <w:pPr>
        <w:spacing w:after="60" w:before="140"/>
      </w:pPr>
      <w:r>
        <w:rPr>
          <w:b/>
          <w:bCs/>
          <w:i/>
          <w:iCs/>
          <w:color w:val="595959"/>
          <w:sz w:val="19"/>
          <w:szCs w:val="19"/>
        </w:rPr>
        <w:t xml:space="preserve">Feasibility Note</w:t>
      </w:r>
    </w:p>
    <w:p>
      <w:pPr>
        <w:spacing w:after="60"/>
      </w:pPr>
      <w:r>
        <w:rPr>
          <w:sz w:val="21"/>
          <w:szCs w:val="21"/>
        </w:rPr>
        <w:t xml:space="preserve">Lowest priority in this document. Revisit only after Module 8 has proven adoption and a vendor partnership is realistic.</w:t>
      </w:r>
    </w:p>
    <w:p>
      <w:r>
        <w:br w:type="page"/>
      </w:r>
    </w:p>
    <w:p>
      <w:pPr>
        <w:pStyle w:val="Heading1"/>
        <w:spacing w:after="160" w:before="380"/>
      </w:pPr>
      <w:r>
        <w:t xml:space="preserve">9. Data, Privacy &amp; Trust</w:t>
      </w:r>
    </w:p>
    <w:p>
      <w:pPr>
        <w:spacing w:after="140"/>
      </w:pPr>
      <w:r>
        <w:rPr>
          <w:sz w:val="21"/>
          <w:szCs w:val="21"/>
        </w:rPr>
        <w:t xml:space="preserve">Financial, health-adjacent, and land data from vulnerable households carries real risk if mishandled — this section is treated as a hard constraint on every module above, not an afterthought.</w:t>
      </w:r>
    </w:p>
    <w:p>
      <w:pPr>
        <w:pStyle w:val="ListParagraph"/>
        <w:numPr>
          <w:ilvl w:val="0"/>
          <w:numId w:val="1"/>
        </w:numPr>
        <w:spacing w:after="80"/>
      </w:pPr>
      <w:r>
        <w:t xml:space="preserve">Data minimization: collect the minimum fields each module needs; never request income, health, or land data "just in case" for a future feature.</w:t>
      </w:r>
    </w:p>
    <w:p>
      <w:pPr>
        <w:pStyle w:val="ListParagraph"/>
        <w:numPr>
          <w:ilvl w:val="0"/>
          <w:numId w:val="1"/>
        </w:numPr>
        <w:spacing w:after="80"/>
      </w:pPr>
      <w:r>
        <w:t xml:space="preserve">No raw health data storage: health-linked nudges (Module 12) are triggered by public regional advisories, never by any individual's personal health information.</w:t>
      </w:r>
    </w:p>
    <w:p>
      <w:pPr>
        <w:pStyle w:val="ListParagraph"/>
        <w:numPr>
          <w:ilvl w:val="0"/>
          <w:numId w:val="1"/>
        </w:numPr>
        <w:spacing w:after="80"/>
      </w:pPr>
      <w:r>
        <w:t xml:space="preserve">Local-language, plain-word consent: before any data collection, explain in the user's language what is collected and why, avoiding legal boilerplate.</w:t>
      </w:r>
    </w:p>
    <w:p>
      <w:pPr>
        <w:pStyle w:val="ListParagraph"/>
        <w:numPr>
          <w:ilvl w:val="0"/>
          <w:numId w:val="1"/>
        </w:numPr>
        <w:spacing w:after="80"/>
      </w:pPr>
      <w:r>
        <w:t xml:space="preserve">Offline data stays encrypted at rest on-device, even before sync.</w:t>
      </w:r>
    </w:p>
    <w:p>
      <w:pPr>
        <w:pStyle w:val="ListParagraph"/>
        <w:numPr>
          <w:ilvl w:val="0"/>
          <w:numId w:val="1"/>
        </w:numPr>
        <w:spacing w:after="80"/>
      </w:pPr>
      <w:r>
        <w:t xml:space="preserve">No credential storage: continue the existing platform rule of never storing bank PINs, passwords, or private API keys.</w:t>
      </w:r>
    </w:p>
    <w:p>
      <w:pPr>
        <w:pStyle w:val="ListParagraph"/>
        <w:numPr>
          <w:ilvl w:val="0"/>
          <w:numId w:val="1"/>
        </w:numPr>
        <w:spacing w:after="80"/>
      </w:pPr>
      <w:r>
        <w:t xml:space="preserve">Human-in-the-loop for scheme applications: FinX prepares documents; the user or a trusted local resource person submits them — FinX does not auto-submit government applications on a user's behalf.</w:t>
      </w:r>
    </w:p>
    <w:p>
      <w:pPr>
        <w:pStyle w:val="Heading2"/>
        <w:spacing w:after="120" w:before="260"/>
      </w:pPr>
      <w:r>
        <w:t xml:space="preserve">Trust &amp; Adoption Strategy</w:t>
      </w:r>
    </w:p>
    <w:p>
      <w:pPr>
        <w:pStyle w:val="ListParagraph"/>
        <w:numPr>
          <w:ilvl w:val="0"/>
          <w:numId w:val="1"/>
        </w:numPr>
        <w:spacing w:after="80"/>
      </w:pPr>
      <w:r>
        <w:t xml:space="preserve">Local resource-person model: partner with bank correspondents, cooperative staff, or SHG leaders as trusted onboarding points, rather than expecting cold organic adoption.</w:t>
      </w:r>
    </w:p>
    <w:p>
      <w:pPr>
        <w:pStyle w:val="ListParagraph"/>
        <w:numPr>
          <w:ilvl w:val="0"/>
          <w:numId w:val="1"/>
        </w:numPr>
        <w:spacing w:after="80"/>
      </w:pPr>
      <w:r>
        <w:t xml:space="preserve">Every AI-generated number or scheme match includes a one-tap "why am I seeing this" explanation, continuing the platform's existing audit-log and source-citation approach.</w:t>
      </w:r>
    </w:p>
    <w:p>
      <w:pPr>
        <w:pStyle w:val="ListParagraph"/>
        <w:numPr>
          <w:ilvl w:val="0"/>
          <w:numId w:val="1"/>
        </w:numPr>
        <w:spacing w:after="80"/>
      </w:pPr>
      <w:r>
        <w:t xml:space="preserve">Pilot with an existing FPO (Farmer Producer Organization) or NGO partner before a general launch, so early feedback comes from a group with an existing trust relationship.</w:t>
      </w:r>
    </w:p>
    <w:p>
      <w:r>
        <w:br w:type="page"/>
      </w:r>
    </w:p>
    <w:p>
      <w:pPr>
        <w:pStyle w:val="Heading1"/>
        <w:spacing w:after="160" w:before="380"/>
      </w:pPr>
      <w:r>
        <w:t xml:space="preserve">10. Technical Architecture</w:t>
      </w:r>
    </w:p>
    <w:p>
      <w:pPr>
        <w:spacing w:after="140"/>
      </w:pPr>
      <w:r>
        <w:rPr>
          <w:sz w:val="21"/>
          <w:szCs w:val="21"/>
        </w:rPr>
        <w:t xml:space="preserve">The architecture below extends Financial Doctor's existing stack rather than replacing it, adding the offline and low-bandwidth layers rural usage requires.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00"/>
      </w:tblGrid>
      <w:tr>
        <w:trPr>
          <w:tblHeader/>
        </w:trPr>
        <w:tc>
          <w:tcPr>
            <w:tcW w:type="dxa" w:w="2000"/>
            <w:shd w:fill="1F3A5F" w:val="clear"/>
            <w:tcMar>
              <w:top w:type="dxa" w:w="80"/>
              <w:left w:type="dxa" w:w="100"/>
              <w:bottom w:type="dxa" w:w="80"/>
              <w:right w:type="dxa" w:w="100"/>
            </w:tcMar>
          </w:tcPr>
          <w:p>
            <w:r>
              <w:rPr>
                <w:b/>
                <w:bCs/>
                <w:color w:val="FFFFFF"/>
                <w:sz w:val="19"/>
                <w:szCs w:val="19"/>
              </w:rPr>
              <w:t xml:space="preserve">Layer</w:t>
            </w:r>
          </w:p>
        </w:tc>
        <w:tc>
          <w:tcPr>
            <w:tcW w:type="dxa" w:w="4200"/>
            <w:shd w:fill="1F3A5F" w:val="clear"/>
            <w:tcMar>
              <w:top w:type="dxa" w:w="80"/>
              <w:left w:type="dxa" w:w="100"/>
              <w:bottom w:type="dxa" w:w="80"/>
              <w:right w:type="dxa" w:w="100"/>
            </w:tcMar>
          </w:tcPr>
          <w:p>
            <w:r>
              <w:rPr>
                <w:b/>
                <w:bCs/>
                <w:color w:val="FFFFFF"/>
                <w:sz w:val="19"/>
                <w:szCs w:val="19"/>
              </w:rPr>
              <w:t xml:space="preserve">Phase 1 Approach</w:t>
            </w:r>
          </w:p>
        </w:tc>
        <w:tc>
          <w:tcPr>
            <w:tcW w:type="dxa" w:w="4200"/>
            <w:shd w:fill="1F3A5F" w:val="clear"/>
            <w:tcMar>
              <w:top w:type="dxa" w:w="80"/>
              <w:left w:type="dxa" w:w="100"/>
              <w:bottom w:type="dxa" w:w="80"/>
              <w:right w:type="dxa" w:w="100"/>
            </w:tcMar>
          </w:tcPr>
          <w:p>
            <w:r>
              <w:rPr>
                <w:b/>
                <w:bCs/>
                <w:color w:val="FFFFFF"/>
                <w:sz w:val="19"/>
                <w:szCs w:val="19"/>
              </w:rPr>
              <w:t xml:space="preserve">Later Phases</w:t>
            </w:r>
          </w:p>
        </w:tc>
      </w:tr>
      <w:tr>
        <w:tc>
          <w:tcPr>
            <w:tcW w:type="dxa" w:w="2000"/>
            <w:shd w:fill="F5F7F5" w:val="clear"/>
            <w:tcMar>
              <w:top w:type="dxa" w:w="70"/>
              <w:left w:type="dxa" w:w="100"/>
              <w:bottom w:type="dxa" w:w="70"/>
              <w:right w:type="dxa" w:w="100"/>
            </w:tcMar>
          </w:tcPr>
          <w:p>
            <w:pPr>
              <w:spacing w:after="40"/>
            </w:pPr>
            <w:r>
              <w:rPr>
                <w:sz w:val="19"/>
                <w:szCs w:val="19"/>
              </w:rPr>
              <w:t xml:space="preserve">Frontend</w:t>
            </w:r>
          </w:p>
        </w:tc>
        <w:tc>
          <w:tcPr>
            <w:tcW w:type="dxa" w:w="4200"/>
            <w:shd w:fill="F5F7F5" w:val="clear"/>
            <w:tcMar>
              <w:top w:type="dxa" w:w="70"/>
              <w:left w:type="dxa" w:w="100"/>
              <w:bottom w:type="dxa" w:w="70"/>
              <w:right w:type="dxa" w:w="100"/>
            </w:tcMar>
          </w:tcPr>
          <w:p>
            <w:pPr>
              <w:spacing w:after="40"/>
            </w:pPr>
            <w:r>
              <w:rPr>
                <w:sz w:val="19"/>
                <w:szCs w:val="19"/>
              </w:rPr>
              <w:t xml:space="preserve">Lightweight web app (existing Financial Doctor stack extended), offline-first with local storage, voice input for wizards</w:t>
            </w:r>
          </w:p>
        </w:tc>
        <w:tc>
          <w:tcPr>
            <w:tcW w:type="dxa" w:w="4200"/>
            <w:shd w:fill="F5F7F5" w:val="clear"/>
            <w:tcMar>
              <w:top w:type="dxa" w:w="70"/>
              <w:left w:type="dxa" w:w="100"/>
              <w:bottom w:type="dxa" w:w="70"/>
              <w:right w:type="dxa" w:w="100"/>
            </w:tcMar>
          </w:tcPr>
          <w:p>
            <w:pPr>
              <w:spacing w:after="40"/>
            </w:pPr>
            <w:r>
              <w:rPr>
                <w:sz w:val="19"/>
                <w:szCs w:val="19"/>
              </w:rPr>
              <w:t xml:space="preserve">Native-lite wrapper if adoption data supports it; SMS/USSD fallback for feature phones</w:t>
            </w:r>
          </w:p>
        </w:tc>
      </w:tr>
      <w:tr>
        <w:tc>
          <w:tcPr>
            <w:tcW w:type="dxa" w:w="2000"/>
            <w:shd w:fill="FFFFFF" w:val="clear"/>
            <w:tcMar>
              <w:top w:type="dxa" w:w="70"/>
              <w:left w:type="dxa" w:w="100"/>
              <w:bottom w:type="dxa" w:w="70"/>
              <w:right w:type="dxa" w:w="100"/>
            </w:tcMar>
          </w:tcPr>
          <w:p>
            <w:pPr>
              <w:spacing w:after="40"/>
            </w:pPr>
            <w:r>
              <w:rPr>
                <w:sz w:val="19"/>
                <w:szCs w:val="19"/>
              </w:rPr>
              <w:t xml:space="preserve">Backend</w:t>
            </w:r>
          </w:p>
        </w:tc>
        <w:tc>
          <w:tcPr>
            <w:tcW w:type="dxa" w:w="4200"/>
            <w:shd w:fill="FFFFFF" w:val="clear"/>
            <w:tcMar>
              <w:top w:type="dxa" w:w="70"/>
              <w:left w:type="dxa" w:w="100"/>
              <w:bottom w:type="dxa" w:w="70"/>
              <w:right w:type="dxa" w:w="100"/>
            </w:tcMar>
          </w:tcPr>
          <w:p>
            <w:pPr>
              <w:spacing w:after="40"/>
            </w:pPr>
            <w:r>
              <w:rPr>
                <w:sz w:val="19"/>
                <w:szCs w:val="19"/>
              </w:rPr>
              <w:t xml:space="preserve">Python (FastAPI) reusing existing deterministic risk-engine modules for cash-flow and debt-comparison math</w:t>
            </w:r>
          </w:p>
        </w:tc>
        <w:tc>
          <w:tcPr>
            <w:tcW w:type="dxa" w:w="4200"/>
            <w:shd w:fill="FFFFFF" w:val="clear"/>
            <w:tcMar>
              <w:top w:type="dxa" w:w="70"/>
              <w:left w:type="dxa" w:w="100"/>
              <w:bottom w:type="dxa" w:w="70"/>
              <w:right w:type="dxa" w:w="100"/>
            </w:tcMar>
          </w:tcPr>
          <w:p>
            <w:pPr>
              <w:spacing w:after="40"/>
            </w:pPr>
            <w:r>
              <w:rPr>
                <w:sz w:val="19"/>
                <w:szCs w:val="19"/>
              </w:rPr>
              <w:t xml:space="preserve">Add OCR pipeline for soil reports/insurance policies; integrate third-party computer-vision APIs rather than training in-house models</w:t>
            </w:r>
          </w:p>
        </w:tc>
      </w:tr>
      <w:tr>
        <w:tc>
          <w:tcPr>
            <w:tcW w:type="dxa" w:w="2000"/>
            <w:shd w:fill="F5F7F5" w:val="clear"/>
            <w:tcMar>
              <w:top w:type="dxa" w:w="70"/>
              <w:left w:type="dxa" w:w="100"/>
              <w:bottom w:type="dxa" w:w="70"/>
              <w:right w:type="dxa" w:w="100"/>
            </w:tcMar>
          </w:tcPr>
          <w:p>
            <w:pPr>
              <w:spacing w:after="40"/>
            </w:pPr>
            <w:r>
              <w:rPr>
                <w:sz w:val="19"/>
                <w:szCs w:val="19"/>
              </w:rPr>
              <w:t xml:space="preserve">Scheme &amp; Price Data</w:t>
            </w:r>
          </w:p>
        </w:tc>
        <w:tc>
          <w:tcPr>
            <w:tcW w:type="dxa" w:w="4200"/>
            <w:shd w:fill="F5F7F5" w:val="clear"/>
            <w:tcMar>
              <w:top w:type="dxa" w:w="70"/>
              <w:left w:type="dxa" w:w="100"/>
              <w:bottom w:type="dxa" w:w="70"/>
              <w:right w:type="dxa" w:w="100"/>
            </w:tcMar>
          </w:tcPr>
          <w:p>
            <w:pPr>
              <w:spacing w:after="40"/>
            </w:pPr>
            <w:r>
              <w:rPr>
                <w:sz w:val="19"/>
                <w:szCs w:val="19"/>
              </w:rPr>
              <w:t xml:space="preserve">Curated, versioned datasets with a manual weekly/monthly review process</w:t>
            </w:r>
          </w:p>
        </w:tc>
        <w:tc>
          <w:tcPr>
            <w:tcW w:type="dxa" w:w="4200"/>
            <w:shd w:fill="F5F7F5" w:val="clear"/>
            <w:tcMar>
              <w:top w:type="dxa" w:w="70"/>
              <w:left w:type="dxa" w:w="100"/>
              <w:bottom w:type="dxa" w:w="70"/>
              <w:right w:type="dxa" w:w="100"/>
            </w:tcMar>
          </w:tcPr>
          <w:p>
            <w:pPr>
              <w:spacing w:after="40"/>
            </w:pPr>
            <w:r>
              <w:rPr>
                <w:sz w:val="19"/>
                <w:szCs w:val="19"/>
              </w:rPr>
              <w:t xml:space="preserve">Formal API partnerships with Agmarknet, state scheme portals where available</w:t>
            </w:r>
          </w:p>
        </w:tc>
      </w:tr>
      <w:tr>
        <w:tc>
          <w:tcPr>
            <w:tcW w:type="dxa" w:w="2000"/>
            <w:shd w:fill="FFFFFF" w:val="clear"/>
            <w:tcMar>
              <w:top w:type="dxa" w:w="70"/>
              <w:left w:type="dxa" w:w="100"/>
              <w:bottom w:type="dxa" w:w="70"/>
              <w:right w:type="dxa" w:w="100"/>
            </w:tcMar>
          </w:tcPr>
          <w:p>
            <w:pPr>
              <w:spacing w:after="40"/>
            </w:pPr>
            <w:r>
              <w:rPr>
                <w:sz w:val="19"/>
                <w:szCs w:val="19"/>
              </w:rPr>
              <w:t xml:space="preserve">Offline Sync</w:t>
            </w:r>
          </w:p>
        </w:tc>
        <w:tc>
          <w:tcPr>
            <w:tcW w:type="dxa" w:w="4200"/>
            <w:shd w:fill="FFFFFF" w:val="clear"/>
            <w:tcMar>
              <w:top w:type="dxa" w:w="70"/>
              <w:left w:type="dxa" w:w="100"/>
              <w:bottom w:type="dxa" w:w="70"/>
              <w:right w:type="dxa" w:w="100"/>
            </w:tcMar>
          </w:tcPr>
          <w:p>
            <w:pPr>
              <w:spacing w:after="40"/>
            </w:pPr>
            <w:r>
              <w:rPr>
                <w:sz w:val="19"/>
                <w:szCs w:val="19"/>
              </w:rPr>
              <w:t xml:space="preserve">IndexedDB on-device, background sync to Postgres on reconnect, conflict resolution favoring most-recent verified entry</w:t>
            </w:r>
          </w:p>
        </w:tc>
        <w:tc>
          <w:tcPr>
            <w:tcW w:type="dxa" w:w="4200"/>
            <w:shd w:fill="FFFFFF" w:val="clear"/>
            <w:tcMar>
              <w:top w:type="dxa" w:w="70"/>
              <w:left w:type="dxa" w:w="100"/>
              <w:bottom w:type="dxa" w:w="70"/>
              <w:right w:type="dxa" w:w="100"/>
            </w:tcMar>
          </w:tcPr>
          <w:p>
            <w:pPr>
              <w:spacing w:after="40"/>
            </w:pPr>
            <w:r>
              <w:rPr>
                <w:sz w:val="19"/>
                <w:szCs w:val="19"/>
              </w:rPr>
              <w:t xml:space="preserve">Same, extended to SHG multi-user sync</w:t>
            </w:r>
          </w:p>
        </w:tc>
      </w:tr>
      <w:tr>
        <w:tc>
          <w:tcPr>
            <w:tcW w:type="dxa" w:w="2000"/>
            <w:shd w:fill="F5F7F5" w:val="clear"/>
            <w:tcMar>
              <w:top w:type="dxa" w:w="70"/>
              <w:left w:type="dxa" w:w="100"/>
              <w:bottom w:type="dxa" w:w="70"/>
              <w:right w:type="dxa" w:w="100"/>
            </w:tcMar>
          </w:tcPr>
          <w:p>
            <w:pPr>
              <w:spacing w:after="40"/>
            </w:pPr>
            <w:r>
              <w:rPr>
                <w:sz w:val="19"/>
                <w:szCs w:val="19"/>
              </w:rPr>
              <w:t xml:space="preserve">Health &amp; Environmental Data</w:t>
            </w:r>
          </w:p>
        </w:tc>
        <w:tc>
          <w:tcPr>
            <w:tcW w:type="dxa" w:w="4200"/>
            <w:shd w:fill="F5F7F5" w:val="clear"/>
            <w:tcMar>
              <w:top w:type="dxa" w:w="70"/>
              <w:left w:type="dxa" w:w="100"/>
              <w:bottom w:type="dxa" w:w="70"/>
              <w:right w:type="dxa" w:w="100"/>
            </w:tcMar>
          </w:tcPr>
          <w:p>
            <w:pPr>
              <w:spacing w:after="40"/>
            </w:pPr>
            <w:r>
              <w:rPr>
                <w:sz w:val="19"/>
                <w:szCs w:val="19"/>
              </w:rPr>
              <w:t xml:space="preserve">Not stored directly — consumed as public advisories only</w:t>
            </w:r>
          </w:p>
        </w:tc>
        <w:tc>
          <w:tcPr>
            <w:tcW w:type="dxa" w:w="4200"/>
            <w:shd w:fill="F5F7F5" w:val="clear"/>
            <w:tcMar>
              <w:top w:type="dxa" w:w="70"/>
              <w:left w:type="dxa" w:w="100"/>
              <w:bottom w:type="dxa" w:w="70"/>
              <w:right w:type="dxa" w:w="100"/>
            </w:tcMar>
          </w:tcPr>
          <w:p>
            <w:pPr>
              <w:spacing w:after="40"/>
            </w:pPr>
            <w:r>
              <w:rPr>
                <w:sz w:val="19"/>
                <w:szCs w:val="19"/>
              </w:rPr>
              <w:t xml:space="preserve">Formal data-sharing agreements with health/agri partners, with legal and privacy review before any expansion</w:t>
            </w:r>
          </w:p>
        </w:tc>
      </w:tr>
    </w:tbl>
    <w:p>
      <w:pPr>
        <w:pStyle w:val="Heading2"/>
        <w:spacing w:after="120" w:before="260"/>
      </w:pPr>
      <w:r>
        <w:t xml:space="preserve">Illustrative Data Flow — Scheme Eligibility Engine</w:t>
      </w:r>
    </w:p>
    <w:p>
      <w:pPr>
        <w:spacing w:after="140"/>
      </w:pPr>
      <w:r>
        <w:rPr>
          <w:sz w:val="21"/>
          <w:szCs w:val="21"/>
        </w:rPr>
        <w:t xml:space="preserve">A simplified request path for Module 1 illustrates the offline-first pattern used across the platform:</w:t>
      </w:r>
    </w:p>
    <w:p>
      <w:pPr>
        <w:pStyle w:val="ListParagraph"/>
        <w:numPr>
          <w:ilvl w:val="0"/>
          <w:numId w:val="2"/>
        </w:numPr>
        <w:spacing w:after="80"/>
      </w:pPr>
      <w:r>
        <w:t xml:space="preserve">User completes the wizard offline; answers are stored locally in IndexedDB with a pending-sync flag.</w:t>
      </w:r>
    </w:p>
    <w:p>
      <w:pPr>
        <w:pStyle w:val="ListParagraph"/>
        <w:numPr>
          <w:ilvl w:val="0"/>
          <w:numId w:val="2"/>
        </w:numPr>
        <w:spacing w:after="80"/>
      </w:pPr>
      <w:r>
        <w:t xml:space="preserve">On reconnect, the client posts the profile to the FastAPI backend's /scheme-match endpoint.</w:t>
      </w:r>
    </w:p>
    <w:p>
      <w:pPr>
        <w:pStyle w:val="ListParagraph"/>
        <w:numPr>
          <w:ilvl w:val="0"/>
          <w:numId w:val="2"/>
        </w:numPr>
        <w:spacing w:after="80"/>
      </w:pPr>
      <w:r>
        <w:t xml:space="preserve">The backend matches the profile against the curated scheme dataset (Postgres) and returns a ranked list with citations to each scheme's source document.</w:t>
      </w:r>
    </w:p>
    <w:p>
      <w:pPr>
        <w:pStyle w:val="ListParagraph"/>
        <w:numPr>
          <w:ilvl w:val="0"/>
          <w:numId w:val="2"/>
        </w:numPr>
        <w:spacing w:after="80"/>
      </w:pPr>
      <w:r>
        <w:t xml:space="preserve">The client caches the result locally so it remains viewable offline, and marks the record synced.</w:t>
      </w:r>
    </w:p>
    <w:p>
      <w:pPr>
        <w:pStyle w:val="ListParagraph"/>
        <w:numPr>
          <w:ilvl w:val="0"/>
          <w:numId w:val="2"/>
        </w:numPr>
        <w:spacing w:after="80"/>
      </w:pPr>
      <w:r>
        <w:t xml:space="preserve">If the user marks a scheme "applied," that status update follows the same offline-write, sync-on-reconnect pattern.</w:t>
      </w:r>
    </w:p>
    <w:p>
      <w:r>
        <w:br w:type="page"/>
      </w:r>
    </w:p>
    <w:p>
      <w:pPr>
        <w:pStyle w:val="Heading1"/>
        <w:spacing w:after="160" w:before="380"/>
      </w:pPr>
      <w:r>
        <w:t xml:space="preserve">11. Team &amp; Resourcing Plan</w:t>
      </w:r>
    </w:p>
    <w:p>
      <w:pPr>
        <w:spacing w:after="140"/>
      </w:pPr>
      <w:r>
        <w:rPr>
          <w:sz w:val="21"/>
          <w:szCs w:val="21"/>
        </w:rPr>
        <w:t xml:space="preserve">An indicative team shape for each phase — actual sizing should be refined against real velocity once Phase 1 is underway.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800"/>
      </w:tblGrid>
      <w:tr>
        <w:trPr>
          <w:tblHeader/>
        </w:trPr>
        <w:tc>
          <w:tcPr>
            <w:tcW w:type="dxa" w:w="2000"/>
            <w:shd w:fill="1F3A5F" w:val="clear"/>
            <w:tcMar>
              <w:top w:type="dxa" w:w="80"/>
              <w:left w:type="dxa" w:w="100"/>
              <w:bottom w:type="dxa" w:w="80"/>
              <w:right w:type="dxa" w:w="100"/>
            </w:tcMar>
          </w:tcPr>
          <w:p>
            <w:r>
              <w:rPr>
                <w:b/>
                <w:bCs/>
                <w:color w:val="FFFFFF"/>
                <w:sz w:val="19"/>
                <w:szCs w:val="19"/>
              </w:rPr>
              <w:t xml:space="preserve">Phase</w:t>
            </w:r>
          </w:p>
        </w:tc>
        <w:tc>
          <w:tcPr>
            <w:tcW w:type="dxa" w:w="4600"/>
            <w:shd w:fill="1F3A5F" w:val="clear"/>
            <w:tcMar>
              <w:top w:type="dxa" w:w="80"/>
              <w:left w:type="dxa" w:w="100"/>
              <w:bottom w:type="dxa" w:w="80"/>
              <w:right w:type="dxa" w:w="100"/>
            </w:tcMar>
          </w:tcPr>
          <w:p>
            <w:r>
              <w:rPr>
                <w:b/>
                <w:bCs/>
                <w:color w:val="FFFFFF"/>
                <w:sz w:val="19"/>
                <w:szCs w:val="19"/>
              </w:rPr>
              <w:t xml:space="preserve">Core Team</w:t>
            </w:r>
          </w:p>
        </w:tc>
        <w:tc>
          <w:tcPr>
            <w:tcW w:type="dxa" w:w="3800"/>
            <w:shd w:fill="1F3A5F" w:val="clear"/>
            <w:tcMar>
              <w:top w:type="dxa" w:w="80"/>
              <w:left w:type="dxa" w:w="100"/>
              <w:bottom w:type="dxa" w:w="80"/>
              <w:right w:type="dxa" w:w="100"/>
            </w:tcMar>
          </w:tcPr>
          <w:p>
            <w:r>
              <w:rPr>
                <w:b/>
                <w:bCs/>
                <w:color w:val="FFFFFF"/>
                <w:sz w:val="19"/>
                <w:szCs w:val="19"/>
              </w:rPr>
              <w:t xml:space="preserve">Key Additions</w:t>
            </w:r>
          </w:p>
        </w:tc>
      </w:tr>
      <w:tr>
        <w:tc>
          <w:tcPr>
            <w:tcW w:type="dxa" w:w="2000"/>
            <w:shd w:fill="F5F7F5" w:val="clear"/>
            <w:tcMar>
              <w:top w:type="dxa" w:w="70"/>
              <w:left w:type="dxa" w:w="100"/>
              <w:bottom w:type="dxa" w:w="70"/>
              <w:right w:type="dxa" w:w="100"/>
            </w:tcMar>
          </w:tcPr>
          <w:p>
            <w:pPr>
              <w:spacing w:after="40"/>
            </w:pPr>
            <w:r>
              <w:rPr>
                <w:sz w:val="19"/>
                <w:szCs w:val="19"/>
              </w:rPr>
              <w:t xml:space="preserve">Phase 1 — MVP</w:t>
            </w:r>
          </w:p>
        </w:tc>
        <w:tc>
          <w:tcPr>
            <w:tcW w:type="dxa" w:w="4600"/>
            <w:shd w:fill="F5F7F5" w:val="clear"/>
            <w:tcMar>
              <w:top w:type="dxa" w:w="70"/>
              <w:left w:type="dxa" w:w="100"/>
              <w:bottom w:type="dxa" w:w="70"/>
              <w:right w:type="dxa" w:w="100"/>
            </w:tcMar>
          </w:tcPr>
          <w:p>
            <w:pPr>
              <w:spacing w:after="40"/>
            </w:pPr>
            <w:r>
              <w:rPr>
                <w:sz w:val="19"/>
                <w:szCs w:val="19"/>
              </w:rPr>
              <w:t xml:space="preserve">1 product lead, 2 full-stack engineers, 1 designer (part-time), 1 content/data curator for scheme &amp; price data</w:t>
            </w:r>
          </w:p>
        </w:tc>
        <w:tc>
          <w:tcPr>
            <w:tcW w:type="dxa" w:w="3800"/>
            <w:shd w:fill="F5F7F5" w:val="clear"/>
            <w:tcMar>
              <w:top w:type="dxa" w:w="70"/>
              <w:left w:type="dxa" w:w="100"/>
              <w:bottom w:type="dxa" w:w="70"/>
              <w:right w:type="dxa" w:w="100"/>
            </w:tcMar>
          </w:tcPr>
          <w:p>
            <w:pPr>
              <w:spacing w:after="40"/>
            </w:pPr>
            <w:r>
              <w:rPr>
                <w:sz w:val="19"/>
                <w:szCs w:val="19"/>
              </w:rPr>
              <w:t xml:space="preserve">Regional-language voice UX reviewer (contract)</w:t>
            </w:r>
          </w:p>
        </w:tc>
      </w:tr>
      <w:tr>
        <w:tc>
          <w:tcPr>
            <w:tcW w:type="dxa" w:w="2000"/>
            <w:shd w:fill="FFFFFF" w:val="clear"/>
            <w:tcMar>
              <w:top w:type="dxa" w:w="70"/>
              <w:left w:type="dxa" w:w="100"/>
              <w:bottom w:type="dxa" w:w="70"/>
              <w:right w:type="dxa" w:w="100"/>
            </w:tcMar>
          </w:tcPr>
          <w:p>
            <w:pPr>
              <w:spacing w:after="40"/>
            </w:pPr>
            <w:r>
              <w:rPr>
                <w:sz w:val="19"/>
                <w:szCs w:val="19"/>
              </w:rPr>
              <w:t xml:space="preserve">Phase 2 — Growth</w:t>
            </w:r>
          </w:p>
        </w:tc>
        <w:tc>
          <w:tcPr>
            <w:tcW w:type="dxa" w:w="4600"/>
            <w:shd w:fill="FFFFFF" w:val="clear"/>
            <w:tcMar>
              <w:top w:type="dxa" w:w="70"/>
              <w:left w:type="dxa" w:w="100"/>
              <w:bottom w:type="dxa" w:w="70"/>
              <w:right w:type="dxa" w:w="100"/>
            </w:tcMar>
          </w:tcPr>
          <w:p>
            <w:pPr>
              <w:spacing w:after="40"/>
            </w:pPr>
            <w:r>
              <w:rPr>
                <w:sz w:val="19"/>
                <w:szCs w:val="19"/>
              </w:rPr>
              <w:t xml:space="preserve">Same core, +1 backend engineer</w:t>
            </w:r>
          </w:p>
        </w:tc>
        <w:tc>
          <w:tcPr>
            <w:tcW w:type="dxa" w:w="3800"/>
            <w:shd w:fill="FFFFFF" w:val="clear"/>
            <w:tcMar>
              <w:top w:type="dxa" w:w="70"/>
              <w:left w:type="dxa" w:w="100"/>
              <w:bottom w:type="dxa" w:w="70"/>
              <w:right w:type="dxa" w:w="100"/>
            </w:tcMar>
          </w:tcPr>
          <w:p>
            <w:pPr>
              <w:spacing w:after="40"/>
            </w:pPr>
            <w:r>
              <w:rPr>
                <w:sz w:val="19"/>
                <w:szCs w:val="19"/>
              </w:rPr>
              <w:t xml:space="preserve">Insurance and cooperative-banking partnership lead (part-time/contract)</w:t>
            </w:r>
          </w:p>
        </w:tc>
      </w:tr>
      <w:tr>
        <w:tc>
          <w:tcPr>
            <w:tcW w:type="dxa" w:w="2000"/>
            <w:shd w:fill="F5F7F5" w:val="clear"/>
            <w:tcMar>
              <w:top w:type="dxa" w:w="70"/>
              <w:left w:type="dxa" w:w="100"/>
              <w:bottom w:type="dxa" w:w="70"/>
              <w:right w:type="dxa" w:w="100"/>
            </w:tcMar>
          </w:tcPr>
          <w:p>
            <w:pPr>
              <w:spacing w:after="40"/>
            </w:pPr>
            <w:r>
              <w:rPr>
                <w:sz w:val="19"/>
                <w:szCs w:val="19"/>
              </w:rPr>
              <w:t xml:space="preserve">Phase 3 — Frontier</w:t>
            </w:r>
          </w:p>
        </w:tc>
        <w:tc>
          <w:tcPr>
            <w:tcW w:type="dxa" w:w="4600"/>
            <w:shd w:fill="F5F7F5" w:val="clear"/>
            <w:tcMar>
              <w:top w:type="dxa" w:w="70"/>
              <w:left w:type="dxa" w:w="100"/>
              <w:bottom w:type="dxa" w:w="70"/>
              <w:right w:type="dxa" w:w="100"/>
            </w:tcMar>
          </w:tcPr>
          <w:p>
            <w:pPr>
              <w:spacing w:after="40"/>
            </w:pPr>
            <w:r>
              <w:rPr>
                <w:sz w:val="19"/>
                <w:szCs w:val="19"/>
              </w:rPr>
              <w:t xml:space="preserve">Same core, +1 data/ML engineer for OCR and integrations</w:t>
            </w:r>
          </w:p>
        </w:tc>
        <w:tc>
          <w:tcPr>
            <w:tcW w:type="dxa" w:w="3800"/>
            <w:shd w:fill="F5F7F5" w:val="clear"/>
            <w:tcMar>
              <w:top w:type="dxa" w:w="70"/>
              <w:left w:type="dxa" w:w="100"/>
              <w:bottom w:type="dxa" w:w="70"/>
              <w:right w:type="dxa" w:w="100"/>
            </w:tcMar>
          </w:tcPr>
          <w:p>
            <w:pPr>
              <w:spacing w:after="40"/>
            </w:pPr>
            <w:r>
              <w:rPr>
                <w:sz w:val="19"/>
                <w:szCs w:val="19"/>
              </w:rPr>
              <w:t xml:space="preserve">Named partnership leads per domain: agri-university liaison, health-sector liaison, skilling-program liaison</w:t>
            </w:r>
          </w:p>
        </w:tc>
      </w:tr>
    </w:tbl>
    <w:p>
      <w:pPr>
        <w:spacing w:after="140"/>
      </w:pPr>
      <w:r>
        <w:rPr>
          <w:sz w:val="21"/>
          <w:szCs w:val="21"/>
        </w:rPr>
        <w:t xml:space="preserve">The content/data curator role for Phase 1 deserves special attention: the Scheme Eligibility Engine and Mandi Price Intelligence modules are only as good as the underlying dataset, and this is an ongoing operational role, not a one-time setup task.</w:t>
      </w:r>
    </w:p>
    <w:p>
      <w:pPr>
        <w:pStyle w:val="Heading1"/>
        <w:spacing w:after="160" w:before="380"/>
      </w:pPr>
      <w:r>
        <w:t xml:space="preserve">12. Success Metrics &amp; Targets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F3A5F" w:val="clear"/>
            <w:tcMar>
              <w:top w:type="dxa" w:w="80"/>
              <w:left w:type="dxa" w:w="100"/>
              <w:bottom w:type="dxa" w:w="80"/>
              <w:right w:type="dxa" w:w="100"/>
            </w:tcMar>
          </w:tcPr>
          <w:p>
            <w:r>
              <w:rPr>
                <w:b/>
                <w:bCs/>
                <w:color w:val="FFFFFF"/>
                <w:sz w:val="19"/>
                <w:szCs w:val="19"/>
              </w:rPr>
              <w:t xml:space="preserve">Module</w:t>
            </w:r>
          </w:p>
        </w:tc>
        <w:tc>
          <w:tcPr>
            <w:tcW w:type="dxa" w:w="3600"/>
            <w:shd w:fill="1F3A5F" w:val="clear"/>
            <w:tcMar>
              <w:top w:type="dxa" w:w="80"/>
              <w:left w:type="dxa" w:w="100"/>
              <w:bottom w:type="dxa" w:w="80"/>
              <w:right w:type="dxa" w:w="100"/>
            </w:tcMar>
          </w:tcPr>
          <w:p>
            <w:r>
              <w:rPr>
                <w:b/>
                <w:bCs/>
                <w:color w:val="FFFFFF"/>
                <w:sz w:val="19"/>
                <w:szCs w:val="19"/>
              </w:rPr>
              <w:t xml:space="preserve">Metric</w:t>
            </w:r>
          </w:p>
        </w:tc>
        <w:tc>
          <w:tcPr>
            <w:tcW w:type="dxa" w:w="3200"/>
            <w:shd w:fill="1F3A5F" w:val="clear"/>
            <w:tcMar>
              <w:top w:type="dxa" w:w="80"/>
              <w:left w:type="dxa" w:w="100"/>
              <w:bottom w:type="dxa" w:w="80"/>
              <w:right w:type="dxa" w:w="100"/>
            </w:tcMar>
          </w:tcPr>
          <w:p>
            <w:r>
              <w:rPr>
                <w:b/>
                <w:bCs/>
                <w:color w:val="FFFFFF"/>
                <w:sz w:val="19"/>
                <w:szCs w:val="19"/>
              </w:rPr>
              <w:t xml:space="preserve">Illustrative 6-Month Pilot Target</w:t>
            </w:r>
          </w:p>
        </w:tc>
      </w:tr>
      <w:tr>
        <w:tc>
          <w:tcPr>
            <w:tcW w:type="dxa" w:w="2600"/>
            <w:shd w:fill="F5F7F5" w:val="clear"/>
            <w:tcMar>
              <w:top w:type="dxa" w:w="70"/>
              <w:left w:type="dxa" w:w="100"/>
              <w:bottom w:type="dxa" w:w="70"/>
              <w:right w:type="dxa" w:w="100"/>
            </w:tcMar>
          </w:tcPr>
          <w:p>
            <w:pPr>
              <w:spacing w:after="40"/>
            </w:pPr>
            <w:r>
              <w:rPr>
                <w:sz w:val="19"/>
                <w:szCs w:val="19"/>
              </w:rPr>
              <w:t xml:space="preserve">Scheme Eligibility Engine</w:t>
            </w:r>
          </w:p>
        </w:tc>
        <w:tc>
          <w:tcPr>
            <w:tcW w:type="dxa" w:w="3600"/>
            <w:shd w:fill="F5F7F5" w:val="clear"/>
            <w:tcMar>
              <w:top w:type="dxa" w:w="70"/>
              <w:left w:type="dxa" w:w="100"/>
              <w:bottom w:type="dxa" w:w="70"/>
              <w:right w:type="dxa" w:w="100"/>
            </w:tcMar>
          </w:tcPr>
          <w:p>
            <w:pPr>
              <w:spacing w:after="40"/>
            </w:pPr>
            <w:r>
              <w:rPr>
                <w:sz w:val="19"/>
                <w:szCs w:val="19"/>
              </w:rPr>
              <w:t xml:space="preserve">% of matches reaching actual submission within 60 days</w:t>
            </w:r>
          </w:p>
        </w:tc>
        <w:tc>
          <w:tcPr>
            <w:tcW w:type="dxa" w:w="3200"/>
            <w:shd w:fill="F5F7F5" w:val="clear"/>
            <w:tcMar>
              <w:top w:type="dxa" w:w="70"/>
              <w:left w:type="dxa" w:w="100"/>
              <w:bottom w:type="dxa" w:w="70"/>
              <w:right w:type="dxa" w:w="100"/>
            </w:tcMar>
          </w:tcPr>
          <w:p>
            <w:pPr>
              <w:spacing w:after="40"/>
            </w:pPr>
            <w:r>
              <w:rPr>
                <w:sz w:val="19"/>
                <w:szCs w:val="19"/>
              </w:rPr>
              <w:t xml:space="preserve">≥ 25% of matched, high-value scheme recommendations</w:t>
            </w:r>
          </w:p>
        </w:tc>
      </w:tr>
      <w:tr>
        <w:tc>
          <w:tcPr>
            <w:tcW w:type="dxa" w:w="2600"/>
            <w:shd w:fill="FFFFFF" w:val="clear"/>
            <w:tcMar>
              <w:top w:type="dxa" w:w="70"/>
              <w:left w:type="dxa" w:w="100"/>
              <w:bottom w:type="dxa" w:w="70"/>
              <w:right w:type="dxa" w:w="100"/>
            </w:tcMar>
          </w:tcPr>
          <w:p>
            <w:pPr>
              <w:spacing w:after="40"/>
            </w:pPr>
            <w:r>
              <w:rPr>
                <w:sz w:val="19"/>
                <w:szCs w:val="19"/>
              </w:rPr>
              <w:t xml:space="preserve">Scam Shield</w:t>
            </w:r>
          </w:p>
        </w:tc>
        <w:tc>
          <w:tcPr>
            <w:tcW w:type="dxa" w:w="3600"/>
            <w:shd w:fill="FFFFFF" w:val="clear"/>
            <w:tcMar>
              <w:top w:type="dxa" w:w="70"/>
              <w:left w:type="dxa" w:w="100"/>
              <w:bottom w:type="dxa" w:w="70"/>
              <w:right w:type="dxa" w:w="100"/>
            </w:tcMar>
          </w:tcPr>
          <w:p>
            <w:pPr>
              <w:spacing w:after="40"/>
            </w:pPr>
            <w:r>
              <w:rPr>
                <w:sz w:val="19"/>
                <w:szCs w:val="19"/>
              </w:rPr>
              <w:t xml:space="preserve">Scams flagged before financial loss</w:t>
            </w:r>
          </w:p>
        </w:tc>
        <w:tc>
          <w:tcPr>
            <w:tcW w:type="dxa" w:w="3200"/>
            <w:shd w:fill="FFFFFF" w:val="clear"/>
            <w:tcMar>
              <w:top w:type="dxa" w:w="70"/>
              <w:left w:type="dxa" w:w="100"/>
              <w:bottom w:type="dxa" w:w="70"/>
              <w:right w:type="dxa" w:w="100"/>
            </w:tcMar>
          </w:tcPr>
          <w:p>
            <w:pPr>
              <w:spacing w:after="40"/>
            </w:pPr>
            <w:r>
              <w:rPr>
                <w:sz w:val="19"/>
                <w:szCs w:val="19"/>
              </w:rPr>
              <w:t xml:space="preserve">Track absolute count; no loss events among active users who used the tool before acting</w:t>
            </w:r>
          </w:p>
        </w:tc>
      </w:tr>
      <w:tr>
        <w:tc>
          <w:tcPr>
            <w:tcW w:type="dxa" w:w="2600"/>
            <w:shd w:fill="F5F7F5" w:val="clear"/>
            <w:tcMar>
              <w:top w:type="dxa" w:w="70"/>
              <w:left w:type="dxa" w:w="100"/>
              <w:bottom w:type="dxa" w:w="70"/>
              <w:right w:type="dxa" w:w="100"/>
            </w:tcMar>
          </w:tcPr>
          <w:p>
            <w:pPr>
              <w:spacing w:after="40"/>
            </w:pPr>
            <w:r>
              <w:rPr>
                <w:sz w:val="19"/>
                <w:szCs w:val="19"/>
              </w:rPr>
              <w:t xml:space="preserve">Mandi Price Intelligence</w:t>
            </w:r>
          </w:p>
        </w:tc>
        <w:tc>
          <w:tcPr>
            <w:tcW w:type="dxa" w:w="3600"/>
            <w:shd w:fill="F5F7F5" w:val="clear"/>
            <w:tcMar>
              <w:top w:type="dxa" w:w="70"/>
              <w:left w:type="dxa" w:w="100"/>
              <w:bottom w:type="dxa" w:w="70"/>
              <w:right w:type="dxa" w:w="100"/>
            </w:tcMar>
          </w:tcPr>
          <w:p>
            <w:pPr>
              <w:spacing w:after="40"/>
            </w:pPr>
            <w:r>
              <w:rPr>
                <w:sz w:val="19"/>
                <w:szCs w:val="19"/>
              </w:rPr>
              <w:t xml:space="preserve">% of users reporting avoided distress sale</w:t>
            </w:r>
          </w:p>
        </w:tc>
        <w:tc>
          <w:tcPr>
            <w:tcW w:type="dxa" w:w="3200"/>
            <w:shd w:fill="F5F7F5" w:val="clear"/>
            <w:tcMar>
              <w:top w:type="dxa" w:w="70"/>
              <w:left w:type="dxa" w:w="100"/>
              <w:bottom w:type="dxa" w:w="70"/>
              <w:right w:type="dxa" w:w="100"/>
            </w:tcMar>
          </w:tcPr>
          <w:p>
            <w:pPr>
              <w:spacing w:after="40"/>
            </w:pPr>
            <w:r>
              <w:rPr>
                <w:sz w:val="19"/>
                <w:szCs w:val="19"/>
              </w:rPr>
              <w:t xml:space="preserve">≥ 30% of users active during a local harvest window</w:t>
            </w:r>
          </w:p>
        </w:tc>
      </w:tr>
      <w:tr>
        <w:tc>
          <w:tcPr>
            <w:tcW w:type="dxa" w:w="2600"/>
            <w:shd w:fill="FFFFFF" w:val="clear"/>
            <w:tcMar>
              <w:top w:type="dxa" w:w="70"/>
              <w:left w:type="dxa" w:w="100"/>
              <w:bottom w:type="dxa" w:w="70"/>
              <w:right w:type="dxa" w:w="100"/>
            </w:tcMar>
          </w:tcPr>
          <w:p>
            <w:pPr>
              <w:spacing w:after="40"/>
            </w:pPr>
            <w:r>
              <w:rPr>
                <w:sz w:val="19"/>
                <w:szCs w:val="19"/>
              </w:rPr>
              <w:t xml:space="preserve">Hyper-Local Economics</w:t>
            </w:r>
          </w:p>
        </w:tc>
        <w:tc>
          <w:tcPr>
            <w:tcW w:type="dxa" w:w="3600"/>
            <w:shd w:fill="FFFFFF" w:val="clear"/>
            <w:tcMar>
              <w:top w:type="dxa" w:w="70"/>
              <w:left w:type="dxa" w:w="100"/>
              <w:bottom w:type="dxa" w:w="70"/>
              <w:right w:type="dxa" w:w="100"/>
            </w:tcMar>
          </w:tcPr>
          <w:p>
            <w:pPr>
              <w:spacing w:after="40"/>
            </w:pPr>
            <w:r>
              <w:rPr>
                <w:sz w:val="19"/>
                <w:szCs w:val="19"/>
              </w:rPr>
              <w:t xml:space="preserve">Reduction in emergency/informal borrowing</w:t>
            </w:r>
          </w:p>
        </w:tc>
        <w:tc>
          <w:tcPr>
            <w:tcW w:type="dxa" w:w="3200"/>
            <w:shd w:fill="FFFFFF" w:val="clear"/>
            <w:tcMar>
              <w:top w:type="dxa" w:w="70"/>
              <w:left w:type="dxa" w:w="100"/>
              <w:bottom w:type="dxa" w:w="70"/>
              <w:right w:type="dxa" w:w="100"/>
            </w:tcMar>
          </w:tcPr>
          <w:p>
            <w:pPr>
              <w:spacing w:after="40"/>
            </w:pPr>
            <w:r>
              <w:rPr>
                <w:sz w:val="19"/>
                <w:szCs w:val="19"/>
              </w:rPr>
              <w:t xml:space="preserve">Directional trend only in a 6-month pilot; meaningful comparison needs 12 months</w:t>
            </w:r>
          </w:p>
        </w:tc>
      </w:tr>
      <w:tr>
        <w:tc>
          <w:tcPr>
            <w:tcW w:type="dxa" w:w="2600"/>
            <w:shd w:fill="F5F7F5" w:val="clear"/>
            <w:tcMar>
              <w:top w:type="dxa" w:w="70"/>
              <w:left w:type="dxa" w:w="100"/>
              <w:bottom w:type="dxa" w:w="70"/>
              <w:right w:type="dxa" w:w="100"/>
            </w:tcMar>
          </w:tcPr>
          <w:p>
            <w:pPr>
              <w:spacing w:after="40"/>
            </w:pPr>
            <w:r>
              <w:rPr>
                <w:sz w:val="19"/>
                <w:szCs w:val="19"/>
              </w:rPr>
              <w:t xml:space="preserve">Overall platform</w:t>
            </w:r>
          </w:p>
        </w:tc>
        <w:tc>
          <w:tcPr>
            <w:tcW w:type="dxa" w:w="3600"/>
            <w:shd w:fill="F5F7F5" w:val="clear"/>
            <w:tcMar>
              <w:top w:type="dxa" w:w="70"/>
              <w:left w:type="dxa" w:w="100"/>
              <w:bottom w:type="dxa" w:w="70"/>
              <w:right w:type="dxa" w:w="100"/>
            </w:tcMar>
          </w:tcPr>
          <w:p>
            <w:pPr>
              <w:spacing w:after="40"/>
            </w:pPr>
            <w:r>
              <w:rPr>
                <w:sz w:val="19"/>
                <w:szCs w:val="19"/>
              </w:rPr>
              <w:t xml:space="preserve">7-day and 30-day return usage on 2G/entry-level devices</w:t>
            </w:r>
          </w:p>
        </w:tc>
        <w:tc>
          <w:tcPr>
            <w:tcW w:type="dxa" w:w="3200"/>
            <w:shd w:fill="F5F7F5" w:val="clear"/>
            <w:tcMar>
              <w:top w:type="dxa" w:w="70"/>
              <w:left w:type="dxa" w:w="100"/>
              <w:bottom w:type="dxa" w:w="70"/>
              <w:right w:type="dxa" w:w="100"/>
            </w:tcMar>
          </w:tcPr>
          <w:p>
            <w:pPr>
              <w:spacing w:after="40"/>
            </w:pPr>
            <w:r>
              <w:rPr>
                <w:sz w:val="19"/>
                <w:szCs w:val="19"/>
              </w:rPr>
              <w:t xml:space="preserve">30-day return rate within 15 percentage points of higher-end-device users</w:t>
            </w:r>
          </w:p>
        </w:tc>
      </w:tr>
    </w:tbl>
    <w:p>
      <w:pPr>
        <w:spacing w:after="140"/>
      </w:pPr>
      <w:r>
        <w:rPr>
          <w:sz w:val="21"/>
          <w:szCs w:val="21"/>
        </w:rPr>
        <w:t xml:space="preserve">Targets above are illustrative starting points for pilot planning, not committed figures — they should be revisited with the pilot partner organization once baseline data exists.</w:t>
      </w:r>
    </w:p>
    <w:p>
      <w:r>
        <w:br w:type="page"/>
      </w:r>
    </w:p>
    <w:p>
      <w:pPr>
        <w:pStyle w:val="Heading1"/>
        <w:spacing w:after="160" w:before="380"/>
      </w:pPr>
      <w:r>
        <w:t xml:space="preserve">13. Risk Register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5200"/>
      </w:tblGrid>
      <w:tr>
        <w:trPr>
          <w:tblHeader/>
        </w:trPr>
        <w:tc>
          <w:tcPr>
            <w:tcW w:type="dxa" w:w="3600"/>
            <w:shd w:fill="1F3A5F" w:val="clear"/>
            <w:tcMar>
              <w:top w:type="dxa" w:w="80"/>
              <w:left w:type="dxa" w:w="100"/>
              <w:bottom w:type="dxa" w:w="80"/>
              <w:right w:type="dxa" w:w="100"/>
            </w:tcMar>
          </w:tcPr>
          <w:p>
            <w:r>
              <w:rPr>
                <w:b/>
                <w:bCs/>
                <w:color w:val="FFFFFF"/>
                <w:sz w:val="19"/>
                <w:szCs w:val="19"/>
              </w:rPr>
              <w:t xml:space="preserve">Risk</w:t>
            </w:r>
          </w:p>
        </w:tc>
        <w:tc>
          <w:tcPr>
            <w:tcW w:type="dxa" w:w="1600"/>
            <w:shd w:fill="1F3A5F" w:val="clear"/>
            <w:tcMar>
              <w:top w:type="dxa" w:w="80"/>
              <w:left w:type="dxa" w:w="100"/>
              <w:bottom w:type="dxa" w:w="80"/>
              <w:right w:type="dxa" w:w="100"/>
            </w:tcMar>
          </w:tcPr>
          <w:p>
            <w:r>
              <w:rPr>
                <w:b/>
                <w:bCs/>
                <w:color w:val="FFFFFF"/>
                <w:sz w:val="19"/>
                <w:szCs w:val="19"/>
              </w:rPr>
              <w:t xml:space="preserve">Likelihood</w:t>
            </w:r>
          </w:p>
        </w:tc>
        <w:tc>
          <w:tcPr>
            <w:tcW w:type="dxa" w:w="5200"/>
            <w:shd w:fill="1F3A5F" w:val="clear"/>
            <w:tcMar>
              <w:top w:type="dxa" w:w="80"/>
              <w:left w:type="dxa" w:w="100"/>
              <w:bottom w:type="dxa" w:w="80"/>
              <w:right w:type="dxa" w:w="100"/>
            </w:tcMar>
          </w:tcPr>
          <w:p>
            <w:r>
              <w:rPr>
                <w:b/>
                <w:bCs/>
                <w:color w:val="FFFFFF"/>
                <w:sz w:val="19"/>
                <w:szCs w:val="19"/>
              </w:rPr>
              <w:t xml:space="preserve">Mitigation</w:t>
            </w:r>
          </w:p>
        </w:tc>
      </w:tr>
      <w:tr>
        <w:tc>
          <w:tcPr>
            <w:tcW w:type="dxa" w:w="3600"/>
            <w:shd w:fill="F5F7F5" w:val="clear"/>
            <w:tcMar>
              <w:top w:type="dxa" w:w="70"/>
              <w:left w:type="dxa" w:w="100"/>
              <w:bottom w:type="dxa" w:w="70"/>
              <w:right w:type="dxa" w:w="100"/>
            </w:tcMar>
          </w:tcPr>
          <w:p>
            <w:pPr>
              <w:spacing w:after="40"/>
            </w:pPr>
            <w:r>
              <w:rPr>
                <w:sz w:val="19"/>
                <w:szCs w:val="19"/>
              </w:rPr>
              <w:t xml:space="preserve">Government scheme data goes stale, users act on outdated info</w:t>
            </w:r>
          </w:p>
        </w:tc>
        <w:tc>
          <w:tcPr>
            <w:tcW w:type="dxa" w:w="1600"/>
            <w:shd w:fill="F5F7F5" w:val="clear"/>
            <w:tcMar>
              <w:top w:type="dxa" w:w="70"/>
              <w:left w:type="dxa" w:w="100"/>
              <w:bottom w:type="dxa" w:w="70"/>
              <w:right w:type="dxa" w:w="100"/>
            </w:tcMar>
          </w:tcPr>
          <w:p>
            <w:pPr>
              <w:spacing w:after="40"/>
            </w:pPr>
            <w:r>
              <w:rPr>
                <w:sz w:val="19"/>
                <w:szCs w:val="19"/>
              </w:rPr>
              <w:t xml:space="preserve">High</w:t>
            </w:r>
          </w:p>
        </w:tc>
        <w:tc>
          <w:tcPr>
            <w:tcW w:type="dxa" w:w="5200"/>
            <w:shd w:fill="F5F7F5" w:val="clear"/>
            <w:tcMar>
              <w:top w:type="dxa" w:w="70"/>
              <w:left w:type="dxa" w:w="100"/>
              <w:bottom w:type="dxa" w:w="70"/>
              <w:right w:type="dxa" w:w="100"/>
            </w:tcMar>
          </w:tcPr>
          <w:p>
            <w:pPr>
              <w:spacing w:after="40"/>
            </w:pPr>
            <w:r>
              <w:rPr>
                <w:sz w:val="19"/>
                <w:szCs w:val="19"/>
              </w:rPr>
              <w:t xml:space="preserve">Versioned dataset with visible "last verified" date; manual review cycle; clear disclaimer to confirm with official source</w:t>
            </w:r>
          </w:p>
        </w:tc>
      </w:tr>
      <w:tr>
        <w:tc>
          <w:tcPr>
            <w:tcW w:type="dxa" w:w="3600"/>
            <w:shd w:fill="FFFFFF" w:val="clear"/>
            <w:tcMar>
              <w:top w:type="dxa" w:w="70"/>
              <w:left w:type="dxa" w:w="100"/>
              <w:bottom w:type="dxa" w:w="70"/>
              <w:right w:type="dxa" w:w="100"/>
            </w:tcMar>
          </w:tcPr>
          <w:p>
            <w:pPr>
              <w:spacing w:after="40"/>
            </w:pPr>
            <w:r>
              <w:rPr>
                <w:sz w:val="19"/>
                <w:szCs w:val="19"/>
              </w:rPr>
              <w:t xml:space="preserve">Health module perceived as surveillance</w:t>
            </w:r>
          </w:p>
        </w:tc>
        <w:tc>
          <w:tcPr>
            <w:tcW w:type="dxa" w:w="1600"/>
            <w:shd w:fill="FFFFFF" w:val="clear"/>
            <w:tcMar>
              <w:top w:type="dxa" w:w="70"/>
              <w:left w:type="dxa" w:w="100"/>
              <w:bottom w:type="dxa" w:w="70"/>
              <w:right w:type="dxa" w:w="100"/>
            </w:tcMar>
          </w:tcPr>
          <w:p>
            <w:pPr>
              <w:spacing w:after="40"/>
            </w:pPr>
            <w:r>
              <w:rPr>
                <w:sz w:val="19"/>
                <w:szCs w:val="19"/>
              </w:rPr>
              <w:t xml:space="preserve">Medium</w:t>
            </w:r>
          </w:p>
        </w:tc>
        <w:tc>
          <w:tcPr>
            <w:tcW w:type="dxa" w:w="5200"/>
            <w:shd w:fill="FFFFFF" w:val="clear"/>
            <w:tcMar>
              <w:top w:type="dxa" w:w="70"/>
              <w:left w:type="dxa" w:w="100"/>
              <w:bottom w:type="dxa" w:w="70"/>
              <w:right w:type="dxa" w:w="100"/>
            </w:tcMar>
          </w:tcPr>
          <w:p>
            <w:pPr>
              <w:spacing w:after="40"/>
            </w:pPr>
            <w:r>
              <w:rPr>
                <w:sz w:val="19"/>
                <w:szCs w:val="19"/>
              </w:rPr>
              <w:t xml:space="preserve">Opt-in only, no individual health data stored, route through existing public-health channels</w:t>
            </w:r>
          </w:p>
        </w:tc>
      </w:tr>
      <w:tr>
        <w:tc>
          <w:tcPr>
            <w:tcW w:type="dxa" w:w="3600"/>
            <w:shd w:fill="F5F7F5" w:val="clear"/>
            <w:tcMar>
              <w:top w:type="dxa" w:w="70"/>
              <w:left w:type="dxa" w:w="100"/>
              <w:bottom w:type="dxa" w:w="70"/>
              <w:right w:type="dxa" w:w="100"/>
            </w:tcMar>
          </w:tcPr>
          <w:p>
            <w:pPr>
              <w:spacing w:after="40"/>
            </w:pPr>
            <w:r>
              <w:rPr>
                <w:sz w:val="19"/>
                <w:szCs w:val="19"/>
              </w:rPr>
              <w:t xml:space="preserve">Low literacy limits adoption of text-heavy screens</w:t>
            </w:r>
          </w:p>
        </w:tc>
        <w:tc>
          <w:tcPr>
            <w:tcW w:type="dxa" w:w="1600"/>
            <w:shd w:fill="F5F7F5" w:val="clear"/>
            <w:tcMar>
              <w:top w:type="dxa" w:w="70"/>
              <w:left w:type="dxa" w:w="100"/>
              <w:bottom w:type="dxa" w:w="70"/>
              <w:right w:type="dxa" w:w="100"/>
            </w:tcMar>
          </w:tcPr>
          <w:p>
            <w:pPr>
              <w:spacing w:after="40"/>
            </w:pPr>
            <w:r>
              <w:rPr>
                <w:sz w:val="19"/>
                <w:szCs w:val="19"/>
              </w:rPr>
              <w:t xml:space="preserve">High</w:t>
            </w:r>
          </w:p>
        </w:tc>
        <w:tc>
          <w:tcPr>
            <w:tcW w:type="dxa" w:w="5200"/>
            <w:shd w:fill="F5F7F5" w:val="clear"/>
            <w:tcMar>
              <w:top w:type="dxa" w:w="70"/>
              <w:left w:type="dxa" w:w="100"/>
              <w:bottom w:type="dxa" w:w="70"/>
              <w:right w:type="dxa" w:w="100"/>
            </w:tcMar>
          </w:tcPr>
          <w:p>
            <w:pPr>
              <w:spacing w:after="40"/>
            </w:pPr>
            <w:r>
              <w:rPr>
                <w:sz w:val="19"/>
                <w:szCs w:val="19"/>
              </w:rPr>
              <w:t xml:space="preserve">Voice-first design, local-language audio explanations, local resource-person onboarding</w:t>
            </w:r>
          </w:p>
        </w:tc>
      </w:tr>
      <w:tr>
        <w:tc>
          <w:tcPr>
            <w:tcW w:type="dxa" w:w="3600"/>
            <w:shd w:fill="FFFFFF" w:val="clear"/>
            <w:tcMar>
              <w:top w:type="dxa" w:w="70"/>
              <w:left w:type="dxa" w:w="100"/>
              <w:bottom w:type="dxa" w:w="70"/>
              <w:right w:type="dxa" w:w="100"/>
            </w:tcMar>
          </w:tcPr>
          <w:p>
            <w:pPr>
              <w:spacing w:after="40"/>
            </w:pPr>
            <w:r>
              <w:rPr>
                <w:sz w:val="19"/>
                <w:szCs w:val="19"/>
              </w:rPr>
              <w:t xml:space="preserve">Over-scoping Phase 3 delays Phase 1 launch</w:t>
            </w:r>
          </w:p>
        </w:tc>
        <w:tc>
          <w:tcPr>
            <w:tcW w:type="dxa" w:w="1600"/>
            <w:shd w:fill="FFFFFF" w:val="clear"/>
            <w:tcMar>
              <w:top w:type="dxa" w:w="70"/>
              <w:left w:type="dxa" w:w="100"/>
              <w:bottom w:type="dxa" w:w="70"/>
              <w:right w:type="dxa" w:w="100"/>
            </w:tcMar>
          </w:tcPr>
          <w:p>
            <w:pPr>
              <w:spacing w:after="40"/>
            </w:pPr>
            <w:r>
              <w:rPr>
                <w:sz w:val="19"/>
                <w:szCs w:val="19"/>
              </w:rPr>
              <w:t xml:space="preserve">High</w:t>
            </w:r>
          </w:p>
        </w:tc>
        <w:tc>
          <w:tcPr>
            <w:tcW w:type="dxa" w:w="5200"/>
            <w:shd w:fill="FFFFFF" w:val="clear"/>
            <w:tcMar>
              <w:top w:type="dxa" w:w="70"/>
              <w:left w:type="dxa" w:w="100"/>
              <w:bottom w:type="dxa" w:w="70"/>
              <w:right w:type="dxa" w:w="100"/>
            </w:tcMar>
          </w:tcPr>
          <w:p>
            <w:pPr>
              <w:spacing w:after="40"/>
            </w:pPr>
            <w:r>
              <w:rPr>
                <w:sz w:val="19"/>
                <w:szCs w:val="19"/>
              </w:rPr>
              <w:t xml:space="preserve">Strict phase gating in project planning; Phase 3 modules require a signed partnership before entering the backlog</w:t>
            </w:r>
          </w:p>
        </w:tc>
      </w:tr>
      <w:tr>
        <w:tc>
          <w:tcPr>
            <w:tcW w:type="dxa" w:w="3600"/>
            <w:shd w:fill="F5F7F5" w:val="clear"/>
            <w:tcMar>
              <w:top w:type="dxa" w:w="70"/>
              <w:left w:type="dxa" w:w="100"/>
              <w:bottom w:type="dxa" w:w="70"/>
              <w:right w:type="dxa" w:w="100"/>
            </w:tcMar>
          </w:tcPr>
          <w:p>
            <w:pPr>
              <w:spacing w:after="40"/>
            </w:pPr>
            <w:r>
              <w:rPr>
                <w:sz w:val="19"/>
                <w:szCs w:val="19"/>
              </w:rPr>
              <w:t xml:space="preserve">Users mistake informational output for personalized advice</w:t>
            </w:r>
          </w:p>
        </w:tc>
        <w:tc>
          <w:tcPr>
            <w:tcW w:type="dxa" w:w="1600"/>
            <w:shd w:fill="F5F7F5" w:val="clear"/>
            <w:tcMar>
              <w:top w:type="dxa" w:w="70"/>
              <w:left w:type="dxa" w:w="100"/>
              <w:bottom w:type="dxa" w:w="70"/>
              <w:right w:type="dxa" w:w="100"/>
            </w:tcMar>
          </w:tcPr>
          <w:p>
            <w:pPr>
              <w:spacing w:after="40"/>
            </w:pPr>
            <w:r>
              <w:rPr>
                <w:sz w:val="19"/>
                <w:szCs w:val="19"/>
              </w:rPr>
              <w:t xml:space="preserve">Medium</w:t>
            </w:r>
          </w:p>
        </w:tc>
        <w:tc>
          <w:tcPr>
            <w:tcW w:type="dxa" w:w="5200"/>
            <w:shd w:fill="F5F7F5" w:val="clear"/>
            <w:tcMar>
              <w:top w:type="dxa" w:w="70"/>
              <w:left w:type="dxa" w:w="100"/>
              <w:bottom w:type="dxa" w:w="70"/>
              <w:right w:type="dxa" w:w="100"/>
            </w:tcMar>
          </w:tcPr>
          <w:p>
            <w:pPr>
              <w:spacing w:after="40"/>
            </w:pPr>
            <w:r>
              <w:rPr>
                <w:sz w:val="19"/>
                <w:szCs w:val="19"/>
              </w:rPr>
              <w:t xml:space="preserve">Consistent non-advisory language and audit-log citations across every module, matching existing Financial Doctor guardrails</w:t>
            </w:r>
          </w:p>
        </w:tc>
      </w:tr>
      <w:tr>
        <w:tc>
          <w:tcPr>
            <w:tcW w:type="dxa" w:w="3600"/>
            <w:shd w:fill="FFFFFF" w:val="clear"/>
            <w:tcMar>
              <w:top w:type="dxa" w:w="70"/>
              <w:left w:type="dxa" w:w="100"/>
              <w:bottom w:type="dxa" w:w="70"/>
              <w:right w:type="dxa" w:w="100"/>
            </w:tcMar>
          </w:tcPr>
          <w:p>
            <w:pPr>
              <w:spacing w:after="40"/>
            </w:pPr>
            <w:r>
              <w:rPr>
                <w:sz w:val="19"/>
                <w:szCs w:val="19"/>
              </w:rPr>
              <w:t xml:space="preserve">Content-curator bottleneck stalls scheme/price data freshness</w:t>
            </w:r>
          </w:p>
        </w:tc>
        <w:tc>
          <w:tcPr>
            <w:tcW w:type="dxa" w:w="1600"/>
            <w:shd w:fill="FFFFFF" w:val="clear"/>
            <w:tcMar>
              <w:top w:type="dxa" w:w="70"/>
              <w:left w:type="dxa" w:w="100"/>
              <w:bottom w:type="dxa" w:w="70"/>
              <w:right w:type="dxa" w:w="100"/>
            </w:tcMar>
          </w:tcPr>
          <w:p>
            <w:pPr>
              <w:spacing w:after="40"/>
            </w:pPr>
            <w:r>
              <w:rPr>
                <w:sz w:val="19"/>
                <w:szCs w:val="19"/>
              </w:rPr>
              <w:t xml:space="preserve">Medium</w:t>
            </w:r>
          </w:p>
        </w:tc>
        <w:tc>
          <w:tcPr>
            <w:tcW w:type="dxa" w:w="5200"/>
            <w:shd w:fill="FFFFFF" w:val="clear"/>
            <w:tcMar>
              <w:top w:type="dxa" w:w="70"/>
              <w:left w:type="dxa" w:w="100"/>
              <w:bottom w:type="dxa" w:w="70"/>
              <w:right w:type="dxa" w:w="100"/>
            </w:tcMar>
          </w:tcPr>
          <w:p>
            <w:pPr>
              <w:spacing w:after="40"/>
            </w:pPr>
            <w:r>
              <w:rPr>
                <w:sz w:val="19"/>
                <w:szCs w:val="19"/>
              </w:rPr>
              <w:t xml:space="preserve">Treat curator as a funded, ongoing role from Phase 1 budget, not a one-time task</w:t>
            </w:r>
          </w:p>
        </w:tc>
      </w:tr>
    </w:tbl>
    <w:p>
      <w:pPr>
        <w:pStyle w:val="Heading1"/>
        <w:spacing w:after="160" w:before="380"/>
      </w:pPr>
      <w:r>
        <w:t xml:space="preserve">14. Pilot Plan &amp; Timeline</w:t>
      </w:r>
    </w:p>
    <w:p>
      <w:pPr>
        <w:spacing w:after="140"/>
      </w:pPr>
      <w:r>
        <w:rPr>
          <w:sz w:val="21"/>
          <w:szCs w:val="21"/>
        </w:rPr>
        <w:t xml:space="preserve">Rather than launching all five Phase 1 modules simultaneously, a tight first pilot validates the riskiest assumption — trust and adoption — fastest.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3A5F" w:val="clear"/>
            <w:tcMar>
              <w:top w:type="dxa" w:w="80"/>
              <w:left w:type="dxa" w:w="100"/>
              <w:bottom w:type="dxa" w:w="80"/>
              <w:right w:type="dxa" w:w="100"/>
            </w:tcMar>
          </w:tcPr>
          <w:p>
            <w:r>
              <w:rPr>
                <w:b/>
                <w:bCs/>
                <w:color w:val="FFFFFF"/>
                <w:sz w:val="19"/>
                <w:szCs w:val="19"/>
              </w:rPr>
              <w:t xml:space="preserve">Weeks</w:t>
            </w:r>
          </w:p>
        </w:tc>
        <w:tc>
          <w:tcPr>
            <w:tcW w:type="dxa" w:w="7800"/>
            <w:shd w:fill="1F3A5F" w:val="clear"/>
            <w:tcMar>
              <w:top w:type="dxa" w:w="80"/>
              <w:left w:type="dxa" w:w="100"/>
              <w:bottom w:type="dxa" w:w="80"/>
              <w:right w:type="dxa" w:w="100"/>
            </w:tcMar>
          </w:tcPr>
          <w:p>
            <w:r>
              <w:rPr>
                <w:b/>
                <w:bCs/>
                <w:color w:val="FFFFFF"/>
                <w:sz w:val="19"/>
                <w:szCs w:val="19"/>
              </w:rPr>
              <w:t xml:space="preserve">Milestone</w:t>
            </w:r>
          </w:p>
        </w:tc>
      </w:tr>
      <w:tr>
        <w:tc>
          <w:tcPr>
            <w:tcW w:type="dxa" w:w="1600"/>
            <w:shd w:fill="F5F7F5" w:val="clear"/>
            <w:tcMar>
              <w:top w:type="dxa" w:w="70"/>
              <w:left w:type="dxa" w:w="100"/>
              <w:bottom w:type="dxa" w:w="70"/>
              <w:right w:type="dxa" w:w="100"/>
            </w:tcMar>
          </w:tcPr>
          <w:p>
            <w:pPr>
              <w:spacing w:after="40"/>
            </w:pPr>
            <w:r>
              <w:rPr>
                <w:sz w:val="19"/>
                <w:szCs w:val="19"/>
              </w:rPr>
              <w:t xml:space="preserve">1–2</w:t>
            </w:r>
          </w:p>
        </w:tc>
        <w:tc>
          <w:tcPr>
            <w:tcW w:type="dxa" w:w="7800"/>
            <w:shd w:fill="F5F7F5" w:val="clear"/>
            <w:tcMar>
              <w:top w:type="dxa" w:w="70"/>
              <w:left w:type="dxa" w:w="100"/>
              <w:bottom w:type="dxa" w:w="70"/>
              <w:right w:type="dxa" w:w="100"/>
            </w:tcMar>
          </w:tcPr>
          <w:p>
            <w:pPr>
              <w:spacing w:after="40"/>
            </w:pPr>
            <w:r>
              <w:rPr>
                <w:sz w:val="19"/>
                <w:szCs w:val="19"/>
              </w:rPr>
              <w:t xml:space="preserve">Select pilot district (e.g., Krishnagiri) and confirm partner organization (FPO, NGO, or cooperative bank branch) with existing local trust</w:t>
            </w:r>
          </w:p>
        </w:tc>
      </w:tr>
      <w:tr>
        <w:tc>
          <w:tcPr>
            <w:tcW w:type="dxa" w:w="1600"/>
            <w:shd w:fill="FFFFFF" w:val="clear"/>
            <w:tcMar>
              <w:top w:type="dxa" w:w="70"/>
              <w:left w:type="dxa" w:w="100"/>
              <w:bottom w:type="dxa" w:w="70"/>
              <w:right w:type="dxa" w:w="100"/>
            </w:tcMar>
          </w:tcPr>
          <w:p>
            <w:pPr>
              <w:spacing w:after="40"/>
            </w:pPr>
            <w:r>
              <w:rPr>
                <w:sz w:val="19"/>
                <w:szCs w:val="19"/>
              </w:rPr>
              <w:t xml:space="preserve">3–6</w:t>
            </w:r>
          </w:p>
        </w:tc>
        <w:tc>
          <w:tcPr>
            <w:tcW w:type="dxa" w:w="7800"/>
            <w:shd w:fill="FFFFFF" w:val="clear"/>
            <w:tcMar>
              <w:top w:type="dxa" w:w="70"/>
              <w:left w:type="dxa" w:w="100"/>
              <w:bottom w:type="dxa" w:w="70"/>
              <w:right w:type="dxa" w:w="100"/>
            </w:tcMar>
          </w:tcPr>
          <w:p>
            <w:pPr>
              <w:spacing w:after="40"/>
            </w:pPr>
            <w:r>
              <w:rPr>
                <w:sz w:val="19"/>
                <w:szCs w:val="19"/>
              </w:rPr>
              <w:t xml:space="preserve">Build and internally test Scheme Eligibility Engine and Scam Shield only — no other Phase 1 modules yet</w:t>
            </w:r>
          </w:p>
        </w:tc>
      </w:tr>
      <w:tr>
        <w:tc>
          <w:tcPr>
            <w:tcW w:type="dxa" w:w="1600"/>
            <w:shd w:fill="F5F7F5" w:val="clear"/>
            <w:tcMar>
              <w:top w:type="dxa" w:w="70"/>
              <w:left w:type="dxa" w:w="100"/>
              <w:bottom w:type="dxa" w:w="70"/>
              <w:right w:type="dxa" w:w="100"/>
            </w:tcMar>
          </w:tcPr>
          <w:p>
            <w:pPr>
              <w:spacing w:after="40"/>
            </w:pPr>
            <w:r>
              <w:rPr>
                <w:sz w:val="19"/>
                <w:szCs w:val="19"/>
              </w:rPr>
              <w:t xml:space="preserve">7–8</w:t>
            </w:r>
          </w:p>
        </w:tc>
        <w:tc>
          <w:tcPr>
            <w:tcW w:type="dxa" w:w="7800"/>
            <w:shd w:fill="F5F7F5" w:val="clear"/>
            <w:tcMar>
              <w:top w:type="dxa" w:w="70"/>
              <w:left w:type="dxa" w:w="100"/>
              <w:bottom w:type="dxa" w:w="70"/>
              <w:right w:type="dxa" w:w="100"/>
            </w:tcMar>
          </w:tcPr>
          <w:p>
            <w:pPr>
              <w:spacing w:after="40"/>
            </w:pPr>
            <w:r>
              <w:rPr>
                <w:sz w:val="19"/>
                <w:szCs w:val="19"/>
              </w:rPr>
              <w:t xml:space="preserve">Onboard first cohort (target: 50–100 households) through the partner organization's existing staff or SHG leaders</w:t>
            </w:r>
          </w:p>
        </w:tc>
      </w:tr>
      <w:tr>
        <w:tc>
          <w:tcPr>
            <w:tcW w:type="dxa" w:w="1600"/>
            <w:shd w:fill="FFFFFF" w:val="clear"/>
            <w:tcMar>
              <w:top w:type="dxa" w:w="70"/>
              <w:left w:type="dxa" w:w="100"/>
              <w:bottom w:type="dxa" w:w="70"/>
              <w:right w:type="dxa" w:w="100"/>
            </w:tcMar>
          </w:tcPr>
          <w:p>
            <w:pPr>
              <w:spacing w:after="40"/>
            </w:pPr>
            <w:r>
              <w:rPr>
                <w:sz w:val="19"/>
                <w:szCs w:val="19"/>
              </w:rPr>
              <w:t xml:space="preserve">9–16</w:t>
            </w:r>
          </w:p>
        </w:tc>
        <w:tc>
          <w:tcPr>
            <w:tcW w:type="dxa" w:w="7800"/>
            <w:shd w:fill="FFFFFF" w:val="clear"/>
            <w:tcMar>
              <w:top w:type="dxa" w:w="70"/>
              <w:left w:type="dxa" w:w="100"/>
              <w:bottom w:type="dxa" w:w="70"/>
              <w:right w:type="dxa" w:w="100"/>
            </w:tcMar>
          </w:tcPr>
          <w:p>
            <w:pPr>
              <w:spacing w:after="40"/>
            </w:pPr>
            <w:r>
              <w:rPr>
                <w:sz w:val="19"/>
                <w:szCs w:val="19"/>
              </w:rPr>
              <w:t xml:space="preserve">Active usage period; weekly check-ins with partner organization; collect application-conversion and scam-flag data</w:t>
            </w:r>
          </w:p>
        </w:tc>
      </w:tr>
      <w:tr>
        <w:tc>
          <w:tcPr>
            <w:tcW w:type="dxa" w:w="1600"/>
            <w:shd w:fill="F5F7F5" w:val="clear"/>
            <w:tcMar>
              <w:top w:type="dxa" w:w="70"/>
              <w:left w:type="dxa" w:w="100"/>
              <w:bottom w:type="dxa" w:w="70"/>
              <w:right w:type="dxa" w:w="100"/>
            </w:tcMar>
          </w:tcPr>
          <w:p>
            <w:pPr>
              <w:spacing w:after="40"/>
            </w:pPr>
            <w:r>
              <w:rPr>
                <w:sz w:val="19"/>
                <w:szCs w:val="19"/>
              </w:rPr>
              <w:t xml:space="preserve">17–18</w:t>
            </w:r>
          </w:p>
        </w:tc>
        <w:tc>
          <w:tcPr>
            <w:tcW w:type="dxa" w:w="7800"/>
            <w:shd w:fill="F5F7F5" w:val="clear"/>
            <w:tcMar>
              <w:top w:type="dxa" w:w="70"/>
              <w:left w:type="dxa" w:w="100"/>
              <w:bottom w:type="dxa" w:w="70"/>
              <w:right w:type="dxa" w:w="100"/>
            </w:tcMar>
          </w:tcPr>
          <w:p>
            <w:pPr>
              <w:spacing w:after="40"/>
            </w:pPr>
            <w:r>
              <w:rPr>
                <w:sz w:val="19"/>
                <w:szCs w:val="19"/>
              </w:rPr>
              <w:t xml:space="preserve">Review pilot metrics against illustrative targets in Section 12; decide whether to proceed to full Phase 1 rollout</w:t>
            </w:r>
          </w:p>
        </w:tc>
      </w:tr>
      <w:tr>
        <w:tc>
          <w:tcPr>
            <w:tcW w:type="dxa" w:w="1600"/>
            <w:shd w:fill="FFFFFF" w:val="clear"/>
            <w:tcMar>
              <w:top w:type="dxa" w:w="70"/>
              <w:left w:type="dxa" w:w="100"/>
              <w:bottom w:type="dxa" w:w="70"/>
              <w:right w:type="dxa" w:w="100"/>
            </w:tcMar>
          </w:tcPr>
          <w:p>
            <w:pPr>
              <w:spacing w:after="40"/>
            </w:pPr>
            <w:r>
              <w:rPr>
                <w:sz w:val="19"/>
                <w:szCs w:val="19"/>
              </w:rPr>
              <w:t xml:space="preserve">19–24</w:t>
            </w:r>
          </w:p>
        </w:tc>
        <w:tc>
          <w:tcPr>
            <w:tcW w:type="dxa" w:w="7800"/>
            <w:shd w:fill="FFFFFF" w:val="clear"/>
            <w:tcMar>
              <w:top w:type="dxa" w:w="70"/>
              <w:left w:type="dxa" w:w="100"/>
              <w:bottom w:type="dxa" w:w="70"/>
              <w:right w:type="dxa" w:w="100"/>
            </w:tcMar>
          </w:tcPr>
          <w:p>
            <w:pPr>
              <w:spacing w:after="40"/>
            </w:pPr>
            <w:r>
              <w:rPr>
                <w:sz w:val="19"/>
                <w:szCs w:val="19"/>
              </w:rPr>
              <w:t xml:space="preserve">If validated, add Hyper-Local Economics, Mandi Price Intelligence, and full Speed-Sync offline hardening; expand to a second pilot district</w:t>
            </w:r>
          </w:p>
        </w:tc>
      </w:tr>
    </w:tbl>
    <w:p>
      <w:r>
        <w:br w:type="page"/>
      </w:r>
    </w:p>
    <w:p>
      <w:pPr>
        <w:pStyle w:val="Heading1"/>
        <w:spacing w:after="160" w:before="380"/>
      </w:pPr>
      <w:r>
        <w:t xml:space="preserve">15. Appendix — Sample Data Schema &amp; Matching Logic</w:t>
      </w:r>
    </w:p>
    <w:p>
      <w:pPr>
        <w:spacing w:after="140"/>
      </w:pPr>
      <w:r>
        <w:rPr>
          <w:sz w:val="21"/>
          <w:szCs w:val="21"/>
        </w:rPr>
        <w:t xml:space="preserve">Illustrative structures to ground the Scheme Eligibility Engine (Module 1) in a concrete implementation starting point.</w:t>
      </w:r>
    </w:p>
    <w:p>
      <w:pPr>
        <w:pStyle w:val="Heading2"/>
        <w:spacing w:after="120" w:before="260"/>
      </w:pPr>
      <w:r>
        <w:t xml:space="preserve">Sample Household Profile Record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tblHeader/>
        </w:trPr>
        <w:tc>
          <w:tcPr>
            <w:tcW w:type="dxa" w:w="3000"/>
            <w:shd w:fill="1F3A5F" w:val="clear"/>
            <w:tcMar>
              <w:top w:type="dxa" w:w="80"/>
              <w:left w:type="dxa" w:w="100"/>
              <w:bottom w:type="dxa" w:w="80"/>
              <w:right w:type="dxa" w:w="100"/>
            </w:tcMar>
          </w:tcPr>
          <w:p>
            <w:r>
              <w:rPr>
                <w:b/>
                <w:bCs/>
                <w:color w:val="FFFFFF"/>
                <w:sz w:val="19"/>
                <w:szCs w:val="19"/>
              </w:rPr>
              <w:t xml:space="preserve">Field</w:t>
            </w:r>
          </w:p>
        </w:tc>
        <w:tc>
          <w:tcPr>
            <w:tcW w:type="dxa" w:w="2200"/>
            <w:shd w:fill="1F3A5F" w:val="clear"/>
            <w:tcMar>
              <w:top w:type="dxa" w:w="80"/>
              <w:left w:type="dxa" w:w="100"/>
              <w:bottom w:type="dxa" w:w="80"/>
              <w:right w:type="dxa" w:w="100"/>
            </w:tcMar>
          </w:tcPr>
          <w:p>
            <w:r>
              <w:rPr>
                <w:b/>
                <w:bCs/>
                <w:color w:val="FFFFFF"/>
                <w:sz w:val="19"/>
                <w:szCs w:val="19"/>
              </w:rPr>
              <w:t xml:space="preserve">Type</w:t>
            </w:r>
          </w:p>
        </w:tc>
        <w:tc>
          <w:tcPr>
            <w:tcW w:type="dxa" w:w="4200"/>
            <w:shd w:fill="1F3A5F" w:val="clear"/>
            <w:tcMar>
              <w:top w:type="dxa" w:w="80"/>
              <w:left w:type="dxa" w:w="100"/>
              <w:bottom w:type="dxa" w:w="80"/>
              <w:right w:type="dxa" w:w="100"/>
            </w:tcMar>
          </w:tcPr>
          <w:p>
            <w:r>
              <w:rPr>
                <w:b/>
                <w:bCs/>
                <w:color w:val="FFFFFF"/>
                <w:sz w:val="19"/>
                <w:szCs w:val="19"/>
              </w:rPr>
              <w:t xml:space="preserve">Example</w:t>
            </w:r>
          </w:p>
        </w:tc>
      </w:tr>
      <w:tr>
        <w:tc>
          <w:tcPr>
            <w:tcW w:type="dxa" w:w="3000"/>
            <w:shd w:fill="F5F7F5" w:val="clear"/>
            <w:tcMar>
              <w:top w:type="dxa" w:w="70"/>
              <w:left w:type="dxa" w:w="100"/>
              <w:bottom w:type="dxa" w:w="70"/>
              <w:right w:type="dxa" w:w="100"/>
            </w:tcMar>
          </w:tcPr>
          <w:p>
            <w:pPr>
              <w:spacing w:after="40"/>
            </w:pPr>
            <w:r>
              <w:rPr>
                <w:sz w:val="19"/>
                <w:szCs w:val="19"/>
              </w:rPr>
              <w:t xml:space="preserve">household_id</w:t>
            </w:r>
          </w:p>
        </w:tc>
        <w:tc>
          <w:tcPr>
            <w:tcW w:type="dxa" w:w="2200"/>
            <w:shd w:fill="F5F7F5" w:val="clear"/>
            <w:tcMar>
              <w:top w:type="dxa" w:w="70"/>
              <w:left w:type="dxa" w:w="100"/>
              <w:bottom w:type="dxa" w:w="70"/>
              <w:right w:type="dxa" w:w="100"/>
            </w:tcMar>
          </w:tcPr>
          <w:p>
            <w:pPr>
              <w:spacing w:after="40"/>
            </w:pPr>
            <w:r>
              <w:rPr>
                <w:sz w:val="19"/>
                <w:szCs w:val="19"/>
              </w:rPr>
              <w:t xml:space="preserve">string</w:t>
            </w:r>
          </w:p>
        </w:tc>
        <w:tc>
          <w:tcPr>
            <w:tcW w:type="dxa" w:w="4200"/>
            <w:shd w:fill="F5F7F5" w:val="clear"/>
            <w:tcMar>
              <w:top w:type="dxa" w:w="70"/>
              <w:left w:type="dxa" w:w="100"/>
              <w:bottom w:type="dxa" w:w="70"/>
              <w:right w:type="dxa" w:w="100"/>
            </w:tcMar>
          </w:tcPr>
          <w:p>
            <w:pPr>
              <w:spacing w:after="40"/>
            </w:pPr>
            <w:r>
              <w:rPr>
                <w:sz w:val="19"/>
                <w:szCs w:val="19"/>
              </w:rPr>
              <w:t xml:space="preserve">HH-KRG-00231</w:t>
            </w:r>
          </w:p>
        </w:tc>
      </w:tr>
      <w:tr>
        <w:tc>
          <w:tcPr>
            <w:tcW w:type="dxa" w:w="3000"/>
            <w:shd w:fill="FFFFFF" w:val="clear"/>
            <w:tcMar>
              <w:top w:type="dxa" w:w="70"/>
              <w:left w:type="dxa" w:w="100"/>
              <w:bottom w:type="dxa" w:w="70"/>
              <w:right w:type="dxa" w:w="100"/>
            </w:tcMar>
          </w:tcPr>
          <w:p>
            <w:pPr>
              <w:spacing w:after="40"/>
            </w:pPr>
            <w:r>
              <w:rPr>
                <w:sz w:val="19"/>
                <w:szCs w:val="19"/>
              </w:rPr>
              <w:t xml:space="preserve">district</w:t>
            </w:r>
          </w:p>
        </w:tc>
        <w:tc>
          <w:tcPr>
            <w:tcW w:type="dxa" w:w="2200"/>
            <w:shd w:fill="FFFFFF" w:val="clear"/>
            <w:tcMar>
              <w:top w:type="dxa" w:w="70"/>
              <w:left w:type="dxa" w:w="100"/>
              <w:bottom w:type="dxa" w:w="70"/>
              <w:right w:type="dxa" w:w="100"/>
            </w:tcMar>
          </w:tcPr>
          <w:p>
            <w:pPr>
              <w:spacing w:after="40"/>
            </w:pPr>
            <w:r>
              <w:rPr>
                <w:sz w:val="19"/>
                <w:szCs w:val="19"/>
              </w:rPr>
              <w:t xml:space="preserve">string</w:t>
            </w:r>
          </w:p>
        </w:tc>
        <w:tc>
          <w:tcPr>
            <w:tcW w:type="dxa" w:w="4200"/>
            <w:shd w:fill="FFFFFF" w:val="clear"/>
            <w:tcMar>
              <w:top w:type="dxa" w:w="70"/>
              <w:left w:type="dxa" w:w="100"/>
              <w:bottom w:type="dxa" w:w="70"/>
              <w:right w:type="dxa" w:w="100"/>
            </w:tcMar>
          </w:tcPr>
          <w:p>
            <w:pPr>
              <w:spacing w:after="40"/>
            </w:pPr>
            <w:r>
              <w:rPr>
                <w:sz w:val="19"/>
                <w:szCs w:val="19"/>
              </w:rPr>
              <w:t xml:space="preserve">Krishnagiri</w:t>
            </w:r>
          </w:p>
        </w:tc>
      </w:tr>
      <w:tr>
        <w:tc>
          <w:tcPr>
            <w:tcW w:type="dxa" w:w="3000"/>
            <w:shd w:fill="F5F7F5" w:val="clear"/>
            <w:tcMar>
              <w:top w:type="dxa" w:w="70"/>
              <w:left w:type="dxa" w:w="100"/>
              <w:bottom w:type="dxa" w:w="70"/>
              <w:right w:type="dxa" w:w="100"/>
            </w:tcMar>
          </w:tcPr>
          <w:p>
            <w:pPr>
              <w:spacing w:after="40"/>
            </w:pPr>
            <w:r>
              <w:rPr>
                <w:sz w:val="19"/>
                <w:szCs w:val="19"/>
              </w:rPr>
              <w:t xml:space="preserve">land_holding_ha</w:t>
            </w:r>
          </w:p>
        </w:tc>
        <w:tc>
          <w:tcPr>
            <w:tcW w:type="dxa" w:w="2200"/>
            <w:shd w:fill="F5F7F5" w:val="clear"/>
            <w:tcMar>
              <w:top w:type="dxa" w:w="70"/>
              <w:left w:type="dxa" w:w="100"/>
              <w:bottom w:type="dxa" w:w="70"/>
              <w:right w:type="dxa" w:w="100"/>
            </w:tcMar>
          </w:tcPr>
          <w:p>
            <w:pPr>
              <w:spacing w:after="40"/>
            </w:pPr>
            <w:r>
              <w:rPr>
                <w:sz w:val="19"/>
                <w:szCs w:val="19"/>
              </w:rPr>
              <w:t xml:space="preserve">decimal</w:t>
            </w:r>
          </w:p>
        </w:tc>
        <w:tc>
          <w:tcPr>
            <w:tcW w:type="dxa" w:w="4200"/>
            <w:shd w:fill="F5F7F5" w:val="clear"/>
            <w:tcMar>
              <w:top w:type="dxa" w:w="70"/>
              <w:left w:type="dxa" w:w="100"/>
              <w:bottom w:type="dxa" w:w="70"/>
              <w:right w:type="dxa" w:w="100"/>
            </w:tcMar>
          </w:tcPr>
          <w:p>
            <w:pPr>
              <w:spacing w:after="40"/>
            </w:pPr>
            <w:r>
              <w:rPr>
                <w:sz w:val="19"/>
                <w:szCs w:val="19"/>
              </w:rPr>
              <w:t xml:space="preserve">0.8</w:t>
            </w:r>
          </w:p>
        </w:tc>
      </w:tr>
      <w:tr>
        <w:tc>
          <w:tcPr>
            <w:tcW w:type="dxa" w:w="3000"/>
            <w:shd w:fill="FFFFFF" w:val="clear"/>
            <w:tcMar>
              <w:top w:type="dxa" w:w="70"/>
              <w:left w:type="dxa" w:w="100"/>
              <w:bottom w:type="dxa" w:w="70"/>
              <w:right w:type="dxa" w:w="100"/>
            </w:tcMar>
          </w:tcPr>
          <w:p>
            <w:pPr>
              <w:spacing w:after="40"/>
            </w:pPr>
            <w:r>
              <w:rPr>
                <w:sz w:val="19"/>
                <w:szCs w:val="19"/>
              </w:rPr>
              <w:t xml:space="preserve">primary_crop</w:t>
            </w:r>
          </w:p>
        </w:tc>
        <w:tc>
          <w:tcPr>
            <w:tcW w:type="dxa" w:w="2200"/>
            <w:shd w:fill="FFFFFF" w:val="clear"/>
            <w:tcMar>
              <w:top w:type="dxa" w:w="70"/>
              <w:left w:type="dxa" w:w="100"/>
              <w:bottom w:type="dxa" w:w="70"/>
              <w:right w:type="dxa" w:w="100"/>
            </w:tcMar>
          </w:tcPr>
          <w:p>
            <w:pPr>
              <w:spacing w:after="40"/>
            </w:pPr>
            <w:r>
              <w:rPr>
                <w:sz w:val="19"/>
                <w:szCs w:val="19"/>
              </w:rPr>
              <w:t xml:space="preserve">string</w:t>
            </w:r>
          </w:p>
        </w:tc>
        <w:tc>
          <w:tcPr>
            <w:tcW w:type="dxa" w:w="4200"/>
            <w:shd w:fill="FFFFFF" w:val="clear"/>
            <w:tcMar>
              <w:top w:type="dxa" w:w="70"/>
              <w:left w:type="dxa" w:w="100"/>
              <w:bottom w:type="dxa" w:w="70"/>
              <w:right w:type="dxa" w:w="100"/>
            </w:tcMar>
          </w:tcPr>
          <w:p>
            <w:pPr>
              <w:spacing w:after="40"/>
            </w:pPr>
            <w:r>
              <w:rPr>
                <w:sz w:val="19"/>
                <w:szCs w:val="19"/>
              </w:rPr>
              <w:t xml:space="preserve">Mango</w:t>
            </w:r>
          </w:p>
        </w:tc>
      </w:tr>
      <w:tr>
        <w:tc>
          <w:tcPr>
            <w:tcW w:type="dxa" w:w="3000"/>
            <w:shd w:fill="F5F7F5" w:val="clear"/>
            <w:tcMar>
              <w:top w:type="dxa" w:w="70"/>
              <w:left w:type="dxa" w:w="100"/>
              <w:bottom w:type="dxa" w:w="70"/>
              <w:right w:type="dxa" w:w="100"/>
            </w:tcMar>
          </w:tcPr>
          <w:p>
            <w:pPr>
              <w:spacing w:after="40"/>
            </w:pPr>
            <w:r>
              <w:rPr>
                <w:sz w:val="19"/>
                <w:szCs w:val="19"/>
              </w:rPr>
              <w:t xml:space="preserve">income_bracket</w:t>
            </w:r>
          </w:p>
        </w:tc>
        <w:tc>
          <w:tcPr>
            <w:tcW w:type="dxa" w:w="2200"/>
            <w:shd w:fill="F5F7F5" w:val="clear"/>
            <w:tcMar>
              <w:top w:type="dxa" w:w="70"/>
              <w:left w:type="dxa" w:w="100"/>
              <w:bottom w:type="dxa" w:w="70"/>
              <w:right w:type="dxa" w:w="100"/>
            </w:tcMar>
          </w:tcPr>
          <w:p>
            <w:pPr>
              <w:spacing w:after="40"/>
            </w:pPr>
            <w:r>
              <w:rPr>
                <w:sz w:val="19"/>
                <w:szCs w:val="19"/>
              </w:rPr>
              <w:t xml:space="preserve">enum</w:t>
            </w:r>
          </w:p>
        </w:tc>
        <w:tc>
          <w:tcPr>
            <w:tcW w:type="dxa" w:w="4200"/>
            <w:shd w:fill="F5F7F5" w:val="clear"/>
            <w:tcMar>
              <w:top w:type="dxa" w:w="70"/>
              <w:left w:type="dxa" w:w="100"/>
              <w:bottom w:type="dxa" w:w="70"/>
              <w:right w:type="dxa" w:w="100"/>
            </w:tcMar>
          </w:tcPr>
          <w:p>
            <w:pPr>
              <w:spacing w:after="40"/>
            </w:pPr>
            <w:r>
              <w:rPr>
                <w:sz w:val="19"/>
                <w:szCs w:val="19"/>
              </w:rPr>
              <w:t xml:space="preserve">Below ₹1,00,000/year</w:t>
            </w:r>
          </w:p>
        </w:tc>
      </w:tr>
      <w:tr>
        <w:tc>
          <w:tcPr>
            <w:tcW w:type="dxa" w:w="3000"/>
            <w:shd w:fill="FFFFFF" w:val="clear"/>
            <w:tcMar>
              <w:top w:type="dxa" w:w="70"/>
              <w:left w:type="dxa" w:w="100"/>
              <w:bottom w:type="dxa" w:w="70"/>
              <w:right w:type="dxa" w:w="100"/>
            </w:tcMar>
          </w:tcPr>
          <w:p>
            <w:pPr>
              <w:spacing w:after="40"/>
            </w:pPr>
            <w:r>
              <w:rPr>
                <w:sz w:val="19"/>
                <w:szCs w:val="19"/>
              </w:rPr>
              <w:t xml:space="preserve">social_category</w:t>
            </w:r>
          </w:p>
        </w:tc>
        <w:tc>
          <w:tcPr>
            <w:tcW w:type="dxa" w:w="2200"/>
            <w:shd w:fill="FFFFFF" w:val="clear"/>
            <w:tcMar>
              <w:top w:type="dxa" w:w="70"/>
              <w:left w:type="dxa" w:w="100"/>
              <w:bottom w:type="dxa" w:w="70"/>
              <w:right w:type="dxa" w:w="100"/>
            </w:tcMar>
          </w:tcPr>
          <w:p>
            <w:pPr>
              <w:spacing w:after="40"/>
            </w:pPr>
            <w:r>
              <w:rPr>
                <w:sz w:val="19"/>
                <w:szCs w:val="19"/>
              </w:rPr>
              <w:t xml:space="preserve">enum</w:t>
            </w:r>
          </w:p>
        </w:tc>
        <w:tc>
          <w:tcPr>
            <w:tcW w:type="dxa" w:w="4200"/>
            <w:shd w:fill="FFFFFF" w:val="clear"/>
            <w:tcMar>
              <w:top w:type="dxa" w:w="70"/>
              <w:left w:type="dxa" w:w="100"/>
              <w:bottom w:type="dxa" w:w="70"/>
              <w:right w:type="dxa" w:w="100"/>
            </w:tcMar>
          </w:tcPr>
          <w:p>
            <w:pPr>
              <w:spacing w:after="40"/>
            </w:pPr>
            <w:r>
              <w:rPr>
                <w:sz w:val="19"/>
                <w:szCs w:val="19"/>
              </w:rPr>
              <w:t xml:space="preserve">OBC</w:t>
            </w:r>
          </w:p>
        </w:tc>
      </w:tr>
      <w:tr>
        <w:tc>
          <w:tcPr>
            <w:tcW w:type="dxa" w:w="3000"/>
            <w:shd w:fill="F5F7F5" w:val="clear"/>
            <w:tcMar>
              <w:top w:type="dxa" w:w="70"/>
              <w:left w:type="dxa" w:w="100"/>
              <w:bottom w:type="dxa" w:w="70"/>
              <w:right w:type="dxa" w:w="100"/>
            </w:tcMar>
          </w:tcPr>
          <w:p>
            <w:pPr>
              <w:spacing w:after="40"/>
            </w:pPr>
            <w:r>
              <w:rPr>
                <w:sz w:val="19"/>
                <w:szCs w:val="19"/>
              </w:rPr>
              <w:t xml:space="preserve">family_size</w:t>
            </w:r>
          </w:p>
        </w:tc>
        <w:tc>
          <w:tcPr>
            <w:tcW w:type="dxa" w:w="2200"/>
            <w:shd w:fill="F5F7F5" w:val="clear"/>
            <w:tcMar>
              <w:top w:type="dxa" w:w="70"/>
              <w:left w:type="dxa" w:w="100"/>
              <w:bottom w:type="dxa" w:w="70"/>
              <w:right w:type="dxa" w:w="100"/>
            </w:tcMar>
          </w:tcPr>
          <w:p>
            <w:pPr>
              <w:spacing w:after="40"/>
            </w:pPr>
            <w:r>
              <w:rPr>
                <w:sz w:val="19"/>
                <w:szCs w:val="19"/>
              </w:rPr>
              <w:t xml:space="preserve">integer</w:t>
            </w:r>
          </w:p>
        </w:tc>
        <w:tc>
          <w:tcPr>
            <w:tcW w:type="dxa" w:w="4200"/>
            <w:shd w:fill="F5F7F5" w:val="clear"/>
            <w:tcMar>
              <w:top w:type="dxa" w:w="70"/>
              <w:left w:type="dxa" w:w="100"/>
              <w:bottom w:type="dxa" w:w="70"/>
              <w:right w:type="dxa" w:w="100"/>
            </w:tcMar>
          </w:tcPr>
          <w:p>
            <w:pPr>
              <w:spacing w:after="40"/>
            </w:pPr>
            <w:r>
              <w:rPr>
                <w:sz w:val="19"/>
                <w:szCs w:val="19"/>
              </w:rPr>
              <w:t xml:space="preserve">5</w:t>
            </w:r>
          </w:p>
        </w:tc>
      </w:tr>
      <w:tr>
        <w:tc>
          <w:tcPr>
            <w:tcW w:type="dxa" w:w="3000"/>
            <w:shd w:fill="FFFFFF" w:val="clear"/>
            <w:tcMar>
              <w:top w:type="dxa" w:w="70"/>
              <w:left w:type="dxa" w:w="100"/>
              <w:bottom w:type="dxa" w:w="70"/>
              <w:right w:type="dxa" w:w="100"/>
            </w:tcMar>
          </w:tcPr>
          <w:p>
            <w:pPr>
              <w:spacing w:after="40"/>
            </w:pPr>
            <w:r>
              <w:rPr>
                <w:sz w:val="19"/>
                <w:szCs w:val="19"/>
              </w:rPr>
              <w:t xml:space="preserve">existing_kcc</w:t>
            </w:r>
          </w:p>
        </w:tc>
        <w:tc>
          <w:tcPr>
            <w:tcW w:type="dxa" w:w="2200"/>
            <w:shd w:fill="FFFFFF" w:val="clear"/>
            <w:tcMar>
              <w:top w:type="dxa" w:w="70"/>
              <w:left w:type="dxa" w:w="100"/>
              <w:bottom w:type="dxa" w:w="70"/>
              <w:right w:type="dxa" w:w="100"/>
            </w:tcMar>
          </w:tcPr>
          <w:p>
            <w:pPr>
              <w:spacing w:after="40"/>
            </w:pPr>
            <w:r>
              <w:rPr>
                <w:sz w:val="19"/>
                <w:szCs w:val="19"/>
              </w:rPr>
              <w:t xml:space="preserve">boolean</w:t>
            </w:r>
          </w:p>
        </w:tc>
        <w:tc>
          <w:tcPr>
            <w:tcW w:type="dxa" w:w="4200"/>
            <w:shd w:fill="FFFFFF" w:val="clear"/>
            <w:tcMar>
              <w:top w:type="dxa" w:w="70"/>
              <w:left w:type="dxa" w:w="100"/>
              <w:bottom w:type="dxa" w:w="70"/>
              <w:right w:type="dxa" w:w="100"/>
            </w:tcMar>
          </w:tcPr>
          <w:p>
            <w:pPr>
              <w:spacing w:after="40"/>
            </w:pPr>
            <w:r>
              <w:rPr>
                <w:sz w:val="19"/>
                <w:szCs w:val="19"/>
              </w:rPr>
              <w:t xml:space="preserve">true</w:t>
            </w:r>
          </w:p>
        </w:tc>
      </w:tr>
    </w:tbl>
    <w:p>
      <w:pPr>
        <w:pStyle w:val="Heading2"/>
        <w:spacing w:after="120" w:before="260"/>
      </w:pPr>
      <w:r>
        <w:t xml:space="preserve">Sample Scheme Record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tblHeader/>
        </w:trPr>
        <w:tc>
          <w:tcPr>
            <w:tcW w:type="dxa" w:w="3000"/>
            <w:shd w:fill="1F3A5F" w:val="clear"/>
            <w:tcMar>
              <w:top w:type="dxa" w:w="80"/>
              <w:left w:type="dxa" w:w="100"/>
              <w:bottom w:type="dxa" w:w="80"/>
              <w:right w:type="dxa" w:w="100"/>
            </w:tcMar>
          </w:tcPr>
          <w:p>
            <w:r>
              <w:rPr>
                <w:b/>
                <w:bCs/>
                <w:color w:val="FFFFFF"/>
                <w:sz w:val="19"/>
                <w:szCs w:val="19"/>
              </w:rPr>
              <w:t xml:space="preserve">Field</w:t>
            </w:r>
          </w:p>
        </w:tc>
        <w:tc>
          <w:tcPr>
            <w:tcW w:type="dxa" w:w="2200"/>
            <w:shd w:fill="1F3A5F" w:val="clear"/>
            <w:tcMar>
              <w:top w:type="dxa" w:w="80"/>
              <w:left w:type="dxa" w:w="100"/>
              <w:bottom w:type="dxa" w:w="80"/>
              <w:right w:type="dxa" w:w="100"/>
            </w:tcMar>
          </w:tcPr>
          <w:p>
            <w:r>
              <w:rPr>
                <w:b/>
                <w:bCs/>
                <w:color w:val="FFFFFF"/>
                <w:sz w:val="19"/>
                <w:szCs w:val="19"/>
              </w:rPr>
              <w:t xml:space="preserve">Type</w:t>
            </w:r>
          </w:p>
        </w:tc>
        <w:tc>
          <w:tcPr>
            <w:tcW w:type="dxa" w:w="4200"/>
            <w:shd w:fill="1F3A5F" w:val="clear"/>
            <w:tcMar>
              <w:top w:type="dxa" w:w="80"/>
              <w:left w:type="dxa" w:w="100"/>
              <w:bottom w:type="dxa" w:w="80"/>
              <w:right w:type="dxa" w:w="100"/>
            </w:tcMar>
          </w:tcPr>
          <w:p>
            <w:r>
              <w:rPr>
                <w:b/>
                <w:bCs/>
                <w:color w:val="FFFFFF"/>
                <w:sz w:val="19"/>
                <w:szCs w:val="19"/>
              </w:rPr>
              <w:t xml:space="preserve">Example</w:t>
            </w:r>
          </w:p>
        </w:tc>
      </w:tr>
      <w:tr>
        <w:tc>
          <w:tcPr>
            <w:tcW w:type="dxa" w:w="3000"/>
            <w:shd w:fill="F5F7F5" w:val="clear"/>
            <w:tcMar>
              <w:top w:type="dxa" w:w="70"/>
              <w:left w:type="dxa" w:w="100"/>
              <w:bottom w:type="dxa" w:w="70"/>
              <w:right w:type="dxa" w:w="100"/>
            </w:tcMar>
          </w:tcPr>
          <w:p>
            <w:pPr>
              <w:spacing w:after="40"/>
            </w:pPr>
            <w:r>
              <w:rPr>
                <w:sz w:val="19"/>
                <w:szCs w:val="19"/>
              </w:rPr>
              <w:t xml:space="preserve">scheme_id</w:t>
            </w:r>
          </w:p>
        </w:tc>
        <w:tc>
          <w:tcPr>
            <w:tcW w:type="dxa" w:w="2200"/>
            <w:shd w:fill="F5F7F5" w:val="clear"/>
            <w:tcMar>
              <w:top w:type="dxa" w:w="70"/>
              <w:left w:type="dxa" w:w="100"/>
              <w:bottom w:type="dxa" w:w="70"/>
              <w:right w:type="dxa" w:w="100"/>
            </w:tcMar>
          </w:tcPr>
          <w:p>
            <w:pPr>
              <w:spacing w:after="40"/>
            </w:pPr>
            <w:r>
              <w:rPr>
                <w:sz w:val="19"/>
                <w:szCs w:val="19"/>
              </w:rPr>
              <w:t xml:space="preserve">string</w:t>
            </w:r>
          </w:p>
        </w:tc>
        <w:tc>
          <w:tcPr>
            <w:tcW w:type="dxa" w:w="4200"/>
            <w:shd w:fill="F5F7F5" w:val="clear"/>
            <w:tcMar>
              <w:top w:type="dxa" w:w="70"/>
              <w:left w:type="dxa" w:w="100"/>
              <w:bottom w:type="dxa" w:w="70"/>
              <w:right w:type="dxa" w:w="100"/>
            </w:tcMar>
          </w:tcPr>
          <w:p>
            <w:pPr>
              <w:spacing w:after="40"/>
            </w:pPr>
            <w:r>
              <w:rPr>
                <w:sz w:val="19"/>
                <w:szCs w:val="19"/>
              </w:rPr>
              <w:t xml:space="preserve">SCH-PMKISAN</w:t>
            </w:r>
          </w:p>
        </w:tc>
      </w:tr>
      <w:tr>
        <w:tc>
          <w:tcPr>
            <w:tcW w:type="dxa" w:w="3000"/>
            <w:shd w:fill="FFFFFF" w:val="clear"/>
            <w:tcMar>
              <w:top w:type="dxa" w:w="70"/>
              <w:left w:type="dxa" w:w="100"/>
              <w:bottom w:type="dxa" w:w="70"/>
              <w:right w:type="dxa" w:w="100"/>
            </w:tcMar>
          </w:tcPr>
          <w:p>
            <w:pPr>
              <w:spacing w:after="40"/>
            </w:pPr>
            <w:r>
              <w:rPr>
                <w:sz w:val="19"/>
                <w:szCs w:val="19"/>
              </w:rPr>
              <w:t xml:space="preserve">name</w:t>
            </w:r>
          </w:p>
        </w:tc>
        <w:tc>
          <w:tcPr>
            <w:tcW w:type="dxa" w:w="2200"/>
            <w:shd w:fill="FFFFFF" w:val="clear"/>
            <w:tcMar>
              <w:top w:type="dxa" w:w="70"/>
              <w:left w:type="dxa" w:w="100"/>
              <w:bottom w:type="dxa" w:w="70"/>
              <w:right w:type="dxa" w:w="100"/>
            </w:tcMar>
          </w:tcPr>
          <w:p>
            <w:pPr>
              <w:spacing w:after="40"/>
            </w:pPr>
            <w:r>
              <w:rPr>
                <w:sz w:val="19"/>
                <w:szCs w:val="19"/>
              </w:rPr>
              <w:t xml:space="preserve">string</w:t>
            </w:r>
          </w:p>
        </w:tc>
        <w:tc>
          <w:tcPr>
            <w:tcW w:type="dxa" w:w="4200"/>
            <w:shd w:fill="FFFFFF" w:val="clear"/>
            <w:tcMar>
              <w:top w:type="dxa" w:w="70"/>
              <w:left w:type="dxa" w:w="100"/>
              <w:bottom w:type="dxa" w:w="70"/>
              <w:right w:type="dxa" w:w="100"/>
            </w:tcMar>
          </w:tcPr>
          <w:p>
            <w:pPr>
              <w:spacing w:after="40"/>
            </w:pPr>
            <w:r>
              <w:rPr>
                <w:sz w:val="19"/>
                <w:szCs w:val="19"/>
              </w:rPr>
              <w:t xml:space="preserve">PM-KISAN</w:t>
            </w:r>
          </w:p>
        </w:tc>
      </w:tr>
      <w:tr>
        <w:tc>
          <w:tcPr>
            <w:tcW w:type="dxa" w:w="3000"/>
            <w:shd w:fill="F5F7F5" w:val="clear"/>
            <w:tcMar>
              <w:top w:type="dxa" w:w="70"/>
              <w:left w:type="dxa" w:w="100"/>
              <w:bottom w:type="dxa" w:w="70"/>
              <w:right w:type="dxa" w:w="100"/>
            </w:tcMar>
          </w:tcPr>
          <w:p>
            <w:pPr>
              <w:spacing w:after="40"/>
            </w:pPr>
            <w:r>
              <w:rPr>
                <w:sz w:val="19"/>
                <w:szCs w:val="19"/>
              </w:rPr>
              <w:t xml:space="preserve">eligibility_rules</w:t>
            </w:r>
          </w:p>
        </w:tc>
        <w:tc>
          <w:tcPr>
            <w:tcW w:type="dxa" w:w="2200"/>
            <w:shd w:fill="F5F7F5" w:val="clear"/>
            <w:tcMar>
              <w:top w:type="dxa" w:w="70"/>
              <w:left w:type="dxa" w:w="100"/>
              <w:bottom w:type="dxa" w:w="70"/>
              <w:right w:type="dxa" w:w="100"/>
            </w:tcMar>
          </w:tcPr>
          <w:p>
            <w:pPr>
              <w:spacing w:after="40"/>
            </w:pPr>
            <w:r>
              <w:rPr>
                <w:sz w:val="19"/>
                <w:szCs w:val="19"/>
              </w:rPr>
              <w:t xml:space="preserve">JSON</w:t>
            </w:r>
          </w:p>
        </w:tc>
        <w:tc>
          <w:tcPr>
            <w:tcW w:type="dxa" w:w="4200"/>
            <w:shd w:fill="F5F7F5" w:val="clear"/>
            <w:tcMar>
              <w:top w:type="dxa" w:w="70"/>
              <w:left w:type="dxa" w:w="100"/>
              <w:bottom w:type="dxa" w:w="70"/>
              <w:right w:type="dxa" w:w="100"/>
            </w:tcMar>
          </w:tcPr>
          <w:p>
            <w:pPr>
              <w:spacing w:after="40"/>
            </w:pPr>
            <w:r>
              <w:rPr>
                <w:sz w:val="19"/>
                <w:szCs w:val="19"/>
              </w:rPr>
              <w:t xml:space="preserve">{ "max_land_ha": 2, "excludes": ["institutional_landholders"] }</w:t>
            </w:r>
          </w:p>
        </w:tc>
      </w:tr>
      <w:tr>
        <w:tc>
          <w:tcPr>
            <w:tcW w:type="dxa" w:w="3000"/>
            <w:shd w:fill="FFFFFF" w:val="clear"/>
            <w:tcMar>
              <w:top w:type="dxa" w:w="70"/>
              <w:left w:type="dxa" w:w="100"/>
              <w:bottom w:type="dxa" w:w="70"/>
              <w:right w:type="dxa" w:w="100"/>
            </w:tcMar>
          </w:tcPr>
          <w:p>
            <w:pPr>
              <w:spacing w:after="40"/>
            </w:pPr>
            <w:r>
              <w:rPr>
                <w:sz w:val="19"/>
                <w:szCs w:val="19"/>
              </w:rPr>
              <w:t xml:space="preserve">estimated_benefit</w:t>
            </w:r>
          </w:p>
        </w:tc>
        <w:tc>
          <w:tcPr>
            <w:tcW w:type="dxa" w:w="2200"/>
            <w:shd w:fill="FFFFFF" w:val="clear"/>
            <w:tcMar>
              <w:top w:type="dxa" w:w="70"/>
              <w:left w:type="dxa" w:w="100"/>
              <w:bottom w:type="dxa" w:w="70"/>
              <w:right w:type="dxa" w:w="100"/>
            </w:tcMar>
          </w:tcPr>
          <w:p>
            <w:pPr>
              <w:spacing w:after="40"/>
            </w:pPr>
            <w:r>
              <w:rPr>
                <w:sz w:val="19"/>
                <w:szCs w:val="19"/>
              </w:rPr>
              <w:t xml:space="preserve">string</w:t>
            </w:r>
          </w:p>
        </w:tc>
        <w:tc>
          <w:tcPr>
            <w:tcW w:type="dxa" w:w="4200"/>
            <w:shd w:fill="FFFFFF" w:val="clear"/>
            <w:tcMar>
              <w:top w:type="dxa" w:w="70"/>
              <w:left w:type="dxa" w:w="100"/>
              <w:bottom w:type="dxa" w:w="70"/>
              <w:right w:type="dxa" w:w="100"/>
            </w:tcMar>
          </w:tcPr>
          <w:p>
            <w:pPr>
              <w:spacing w:after="40"/>
            </w:pPr>
            <w:r>
              <w:rPr>
                <w:sz w:val="19"/>
                <w:szCs w:val="19"/>
              </w:rPr>
              <w:t xml:space="preserve">₹6,000/year in three installments</w:t>
            </w:r>
          </w:p>
        </w:tc>
      </w:tr>
      <w:tr>
        <w:tc>
          <w:tcPr>
            <w:tcW w:type="dxa" w:w="3000"/>
            <w:shd w:fill="F5F7F5" w:val="clear"/>
            <w:tcMar>
              <w:top w:type="dxa" w:w="70"/>
              <w:left w:type="dxa" w:w="100"/>
              <w:bottom w:type="dxa" w:w="70"/>
              <w:right w:type="dxa" w:w="100"/>
            </w:tcMar>
          </w:tcPr>
          <w:p>
            <w:pPr>
              <w:spacing w:after="40"/>
            </w:pPr>
            <w:r>
              <w:rPr>
                <w:sz w:val="19"/>
                <w:szCs w:val="19"/>
              </w:rPr>
              <w:t xml:space="preserve">required_documents</w:t>
            </w:r>
          </w:p>
        </w:tc>
        <w:tc>
          <w:tcPr>
            <w:tcW w:type="dxa" w:w="2200"/>
            <w:shd w:fill="F5F7F5" w:val="clear"/>
            <w:tcMar>
              <w:top w:type="dxa" w:w="70"/>
              <w:left w:type="dxa" w:w="100"/>
              <w:bottom w:type="dxa" w:w="70"/>
              <w:right w:type="dxa" w:w="100"/>
            </w:tcMar>
          </w:tcPr>
          <w:p>
            <w:pPr>
              <w:spacing w:after="40"/>
            </w:pPr>
            <w:r>
              <w:rPr>
                <w:sz w:val="19"/>
                <w:szCs w:val="19"/>
              </w:rPr>
              <w:t xml:space="preserve">list</w:t>
            </w:r>
          </w:p>
        </w:tc>
        <w:tc>
          <w:tcPr>
            <w:tcW w:type="dxa" w:w="4200"/>
            <w:shd w:fill="F5F7F5" w:val="clear"/>
            <w:tcMar>
              <w:top w:type="dxa" w:w="70"/>
              <w:left w:type="dxa" w:w="100"/>
              <w:bottom w:type="dxa" w:w="70"/>
              <w:right w:type="dxa" w:w="100"/>
            </w:tcMar>
          </w:tcPr>
          <w:p>
            <w:pPr>
              <w:spacing w:after="40"/>
            </w:pPr>
            <w:r>
              <w:rPr>
                <w:sz w:val="19"/>
                <w:szCs w:val="19"/>
              </w:rPr>
              <w:t xml:space="preserve">[Aadhaar, land record, bank passbook]</w:t>
            </w:r>
          </w:p>
        </w:tc>
      </w:tr>
      <w:tr>
        <w:tc>
          <w:tcPr>
            <w:tcW w:type="dxa" w:w="3000"/>
            <w:shd w:fill="FFFFFF" w:val="clear"/>
            <w:tcMar>
              <w:top w:type="dxa" w:w="70"/>
              <w:left w:type="dxa" w:w="100"/>
              <w:bottom w:type="dxa" w:w="70"/>
              <w:right w:type="dxa" w:w="100"/>
            </w:tcMar>
          </w:tcPr>
          <w:p>
            <w:pPr>
              <w:spacing w:after="40"/>
            </w:pPr>
            <w:r>
              <w:rPr>
                <w:sz w:val="19"/>
                <w:szCs w:val="19"/>
              </w:rPr>
              <w:t xml:space="preserve">last_verified</w:t>
            </w:r>
          </w:p>
        </w:tc>
        <w:tc>
          <w:tcPr>
            <w:tcW w:type="dxa" w:w="2200"/>
            <w:shd w:fill="FFFFFF" w:val="clear"/>
            <w:tcMar>
              <w:top w:type="dxa" w:w="70"/>
              <w:left w:type="dxa" w:w="100"/>
              <w:bottom w:type="dxa" w:w="70"/>
              <w:right w:type="dxa" w:w="100"/>
            </w:tcMar>
          </w:tcPr>
          <w:p>
            <w:pPr>
              <w:spacing w:after="40"/>
            </w:pPr>
            <w:r>
              <w:rPr>
                <w:sz w:val="19"/>
                <w:szCs w:val="19"/>
              </w:rPr>
              <w:t xml:space="preserve">date</w:t>
            </w:r>
          </w:p>
        </w:tc>
        <w:tc>
          <w:tcPr>
            <w:tcW w:type="dxa" w:w="4200"/>
            <w:shd w:fill="FFFFFF" w:val="clear"/>
            <w:tcMar>
              <w:top w:type="dxa" w:w="70"/>
              <w:left w:type="dxa" w:w="100"/>
              <w:bottom w:type="dxa" w:w="70"/>
              <w:right w:type="dxa" w:w="100"/>
            </w:tcMar>
          </w:tcPr>
          <w:p>
            <w:pPr>
              <w:spacing w:after="40"/>
            </w:pPr>
            <w:r>
              <w:rPr>
                <w:sz w:val="19"/>
                <w:szCs w:val="19"/>
              </w:rPr>
              <w:t xml:space="preserve">2026-08-01</w:t>
            </w:r>
          </w:p>
        </w:tc>
      </w:tr>
      <w:tr>
        <w:tc>
          <w:tcPr>
            <w:tcW w:type="dxa" w:w="3000"/>
            <w:shd w:fill="F5F7F5" w:val="clear"/>
            <w:tcMar>
              <w:top w:type="dxa" w:w="70"/>
              <w:left w:type="dxa" w:w="100"/>
              <w:bottom w:type="dxa" w:w="70"/>
              <w:right w:type="dxa" w:w="100"/>
            </w:tcMar>
          </w:tcPr>
          <w:p>
            <w:pPr>
              <w:spacing w:after="40"/>
            </w:pPr>
            <w:r>
              <w:rPr>
                <w:sz w:val="19"/>
                <w:szCs w:val="19"/>
              </w:rPr>
              <w:t xml:space="preserve">source_url</w:t>
            </w:r>
          </w:p>
        </w:tc>
        <w:tc>
          <w:tcPr>
            <w:tcW w:type="dxa" w:w="2200"/>
            <w:shd w:fill="F5F7F5" w:val="clear"/>
            <w:tcMar>
              <w:top w:type="dxa" w:w="70"/>
              <w:left w:type="dxa" w:w="100"/>
              <w:bottom w:type="dxa" w:w="70"/>
              <w:right w:type="dxa" w:w="100"/>
            </w:tcMar>
          </w:tcPr>
          <w:p>
            <w:pPr>
              <w:spacing w:after="40"/>
            </w:pPr>
            <w:r>
              <w:rPr>
                <w:sz w:val="19"/>
                <w:szCs w:val="19"/>
              </w:rPr>
              <w:t xml:space="preserve">string</w:t>
            </w:r>
          </w:p>
        </w:tc>
        <w:tc>
          <w:tcPr>
            <w:tcW w:type="dxa" w:w="4200"/>
            <w:shd w:fill="F5F7F5" w:val="clear"/>
            <w:tcMar>
              <w:top w:type="dxa" w:w="70"/>
              <w:left w:type="dxa" w:w="100"/>
              <w:bottom w:type="dxa" w:w="70"/>
              <w:right w:type="dxa" w:w="100"/>
            </w:tcMar>
          </w:tcPr>
          <w:p>
            <w:pPr>
              <w:spacing w:after="40"/>
            </w:pPr>
            <w:r>
              <w:rPr>
                <w:sz w:val="19"/>
                <w:szCs w:val="19"/>
              </w:rPr>
              <w:t xml:space="preserve">Official PM-KISAN portal</w:t>
            </w:r>
          </w:p>
        </w:tc>
      </w:tr>
    </w:tbl>
    <w:p>
      <w:pPr>
        <w:pStyle w:val="Heading2"/>
        <w:spacing w:after="120" w:before="260"/>
      </w:pPr>
      <w:r>
        <w:t xml:space="preserve">Matching Logic (Simplified)</w:t>
      </w:r>
    </w:p>
    <w:p>
      <w:pPr>
        <w:spacing w:after="140"/>
      </w:pPr>
      <w:r>
        <w:rPr>
          <w:sz w:val="21"/>
          <w:szCs w:val="21"/>
        </w:rPr>
        <w:t xml:space="preserve">For each household profile, the engine evaluates every active scheme's eligibility_rules against the household's fields, returning matches ranked by estimated_benefit. Rules are stored as structured data, not free text, so the matching step is deterministic and auditable — consistent with the platform's existing "deterministic mathematics" principle for financial calculations.</w:t>
      </w:r>
    </w:p>
    <w:p>
      <w:pPr>
        <w:spacing w:after="140"/>
      </w:pPr>
      <w:r>
        <w:rPr>
          <w:sz w:val="21"/>
          <w:szCs w:val="21"/>
        </w:rPr>
        <w:t xml:space="preserve">Every match returned to the user carries its source_url and last_verified date, so the explainability and citation pattern already used in Financial Doctor's AI Copilot extends naturally to scheme matching.</w:t>
      </w:r>
    </w:p>
    <w:p>
      <w:pPr>
        <w:pBdr>
          <w:bottom w:val="single" w:color="CCCCCC" w:sz="6" w:space="1"/>
        </w:pBdr>
        <w:spacing w:after="200"/>
      </w:pPr>
    </w:p>
    <w:p>
      <w:r>
        <w:rPr>
          <w:i/>
          <w:iCs/>
          <w:color w:val="595959"/>
          <w:sz w:val="18"/>
          <w:szCs w:val="18"/>
        </w:rPr>
        <w:t xml:space="preserve">This document is a planning and architecture guide, not a compliance or legal filing. Market statistics are drawn from NABARD's NAFIS 2021-22 survey and public commentary on its release, and should be re-verified before use in external materials. Any module touching health data, government scheme submission, or insurance products should be reviewed against the relevant regulatory and legal requirements before build.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Step %1 —"/>
      <w:lvlJc w:val="start"/>
      <w:pPr>
        <w:ind w:left="620" w:hanging="4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80"/>
    </w:pPr>
    <w:rPr>
      <w:rFonts w:ascii="Calibri" w:cs="Calibri" w:eastAsia="Calibri" w:hAnsi="Calibri"/>
      <w:b/>
      <w:bCs/>
      <w:color w:val="1F3A5F"/>
      <w:sz w:val="32"/>
      <w:szCs w:val="32"/>
    </w:rPr>
  </w:style>
  <w:style w:type="paragraph" w:styleId="Heading2">
    <w:name w:val="Heading 2"/>
    <w:basedOn w:val="Normal"/>
    <w:next w:val="Normal"/>
    <w:qFormat/>
    <w:pPr>
      <w:spacing w:after="120" w:before="260"/>
    </w:pPr>
    <w:rPr>
      <w:rFonts w:ascii="Calibri" w:cs="Calibri" w:eastAsia="Calibri" w:hAnsi="Calibri"/>
      <w:b/>
      <w:bCs/>
      <w:color w:val="2E7D32"/>
      <w:sz w:val="25"/>
      <w:szCs w:val="25"/>
    </w:rPr>
  </w:style>
  <w:style w:type="paragraph" w:styleId="Title">
    <w:name w:val="Title"/>
    <w:basedOn w:val="Normal"/>
    <w:next w:val="Normal"/>
    <w:pPr>
      <w:spacing w:after="120"/>
    </w:pPr>
    <w:rPr>
      <w:rFonts w:ascii="Calibri" w:cs="Calibri" w:eastAsia="Calibri" w:hAnsi="Calibri"/>
      <w:b/>
      <w:bCs/>
      <w:color w:val="1F3A5F"/>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2026-08-30T06:59:51.902Z</dcterms:created>
  <dcterms:modified xsi:type="dcterms:W3CDTF">2026-08-30T06:59:51.902Z</dcterms:modified>
</cp:coreProperties>
</file>

<file path=docProps/custom.xml><?xml version="1.0" encoding="utf-8"?>
<Properties xmlns="http://schemas.openxmlformats.org/officeDocument/2006/custom-properties" xmlns:vt="http://schemas.openxmlformats.org/officeDocument/2006/docPropsVTypes"/>
</file>