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UI/Experiencia V2 (sesion 37 cerrada): IU-19 V1 Principal aprobada en verde tras 5 commits de ajustes posteriores (thumbnail POI fuera, icono bomba gasolina ambar, pueblo bajo POI en gris marca, nube meteo a outline). Sistema HUD operativo en V1 con datos reales del simulador. Pendiente desde sesion 34: BPC-15 e IU-16 en verde.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Arranque de IU-20 V2 Meteo tipografia expresiva: palabra gigante (DESPEJADO/NUBOSO/LLUVIA/TORMENTA/NIEVE/NIEBLA con Archivo Black &lt;=10 caracteres por D-36) derivada del codigo WMO, temperatura en JetBrains Mono 76px peso 200, timeline horaria 8h con lineas que cambian peso segun intensidad de lluvia, preservando canvas meteo y animaciones IU-10..15 (RainFX, LightningFX, SnowFX, FogFX).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2026-04-24T15:25:17.237Z</dcterms:created>
  <dcterms:modified xsi:type="dcterms:W3CDTF">2026-04-24T15:25:17.243Z</dcterms:modified>
</cp:coreProperties>
</file>

<file path=docProps/custom.xml><?xml version="1.0" encoding="utf-8"?>
<Properties xmlns="http://schemas.openxmlformats.org/officeDocument/2006/custom-properties" xmlns:vt="http://schemas.openxmlformats.org/officeDocument/2006/docPropsVTypes"/>
</file>