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Deuda técnica (sesión 33): ultrareview del proyecto y 10 tarjetas DT-01 a DT-10 ejecutadas. PWA instalable con service worker (DT-01), helper geodésico centralizado (DT-02), rate-limiter global Overpass (DT-03), sanitizer de gasolineras unificado (DT-04), TTLs en caches (DT-05), bug enVuelo (DT-06), reintento destinos motorway (DT-07), extracción de 1000 líneas inline a js/main.js (DT-08), textContent en debug.js (DT-09), pois.js dividido en 4 submódulos (DT-10).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23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Verificación humana de las tarjetas DT-03, DT-08 y DT-10 en preview (actualmente en cian). Tras aprobación, prueba en carretera PEC-06 validando SW offline, rate-limiter en condiciones reales y estabilidad general tras el refactor grande.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2026-04-23T19:55:09.010Z</dcterms:created>
  <dcterms:modified xsi:type="dcterms:W3CDTF">2026-04-23T19:55:09.015Z</dcterms:modified>
</cp:coreProperties>
</file>

<file path=docProps/custom.xml><?xml version="1.0" encoding="utf-8"?>
<Properties xmlns="http://schemas.openxmlformats.org/officeDocument/2006/custom-properties" xmlns:vt="http://schemas.openxmlformats.org/officeDocument/2006/docPropsVTypes"/>
</file>