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41): IU-22 V4 Entorno cartografia aprobada en verde. Cuarta vista del visor con fondo de reticula topografica SVG, coordenadas GMS, nombre del entorno gigante (comarca/provincia/ccaa) en Archivo Black, AQUI central pulsante con glow fosforo y chinchetas de 6 pueblos cercanos distribuidas como cartografia abstracta en 360° (elipse 270x155). 6 de 7 tarjetas del grupo UI/Experiencia V2 ya en verde — solo queda IU-24 (pulido).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Arranque de IU-24 Pulido visual y prueba en simulador: limpieza de CSS muerto de las V1/V2/V3 antiguas (.v1-*, .v2-*, .v3-* ya sin HTML), revision integral de consistencia visual entre las 4 vistas, ajustes finos que surjan al probar en el movil real o en rutas diversas del simulador.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2026-04-24T19:38:03.231Z</dcterms:created>
  <dcterms:modified xsi:type="dcterms:W3CDTF">2026-04-24T19:38:03.235Z</dcterms:modified>
</cp:coreProperties>
</file>

<file path=docProps/custom.xml><?xml version="1.0" encoding="utf-8"?>
<Properties xmlns="http://schemas.openxmlformats.org/officeDocument/2006/custom-properties" xmlns:vt="http://schemas.openxmlformats.org/officeDocument/2006/docPropsVTypes"/>
</file>