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UI/Experiencia (sesión 34): feedback de diseño de Laureano desde el uso real. Dos tarjetas ejecutadas y en cian: BPC-15 (velocidad V2 arriba-derecha para no solapar previsión meteo) e IU-16 (densidad de V1: subir tamaños, reactivar descripción+foto Wikipedia en V1, centrar meteo vertical, fijar ancho del grid). Correcciones colaterales al sistema de grid de .vista (min-width→width 100vw, minmax(0,...) en grid-template-columns, min-width:0 en v1-izq/v1-der) para evitar que el contenido empuje el viewport.</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Verificación humana de BPC-15 e IU-16 en preview (actualmente en cian) y, tras aprobación, prueba en carretera PEC-06 validando densidad nueva de V1 en el móvil del coche, velocidad en top-right de V2, y (pendiente desde sesión 33) SW offline, rate-limiter Overpass y estabilidad tras el refactor grande.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2026-04-24T11:08:33.848Z</dcterms:created>
  <dcterms:modified xsi:type="dcterms:W3CDTF">2026-04-24T11:08:33.852Z</dcterms:modified>
</cp:coreProperties>
</file>

<file path=docProps/custom.xml><?xml version="1.0" encoding="utf-8"?>
<Properties xmlns="http://schemas.openxmlformats.org/officeDocument/2006/custom-properties" xmlns:vt="http://schemas.openxmlformats.org/officeDocument/2006/docPropsVTypes"/>
</file>