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39): IU-21 V3 POIs aprobada en verde. V3 con header "PUNTOS DE INTERES" + ubicacion actual + contador N / RADIO 25 KM, grid 3x2 de 6 tarjetas POI individuales (flat, no agrupadas por pueblo), foto real cuando hay o placeholder rayas diagonales, meta con pueblo en gris uppercase + distancia en fosforo tabular; strip inferior de gasolineras con icono bomba ambar. 3 de las 4 vistas del grupo UI/Experiencia V2 ya en verde (IU-18, IU-19, IU-20, IU-21). Pendiente: IU-22 V4 Entorno cartografia (NUEVA FEATURE), IU-23 Exceso velocidad HUD, IU-24 Pulido.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Arranque de IU-22 V4 Entorno cartografia: vista nueva con retícula topografica de fondo, coordenadas, nombre del entorno gigante y POIs posicionados como chinchetas en mapa. Es la unica tarjeta que introduce una cuarta vista al visor — implica ampliar el scroll-snap, el indicador de paginas y la logica de deteccion de vista activa.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2026-04-24T19:09:54.915Z</dcterms:created>
  <dcterms:modified xsi:type="dcterms:W3CDTF">2026-04-24T19:09:54.919Z</dcterms:modified>
</cp:coreProperties>
</file>

<file path=docProps/custom.xml><?xml version="1.0" encoding="utf-8"?>
<Properties xmlns="http://schemas.openxmlformats.org/officeDocument/2006/custom-properties" xmlns:vt="http://schemas.openxmlformats.org/officeDocument/2006/docPropsVTypes"/>
</file>