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completa. IU-13 cerrada en sesión 30: motor Canvas 2D de lluvia (pool adaptativo 18-50 según mm/h, gotas inclinadas por viento real, impactos elípticos, tintado por momento del día). Sustituye a la lluvia CSS de IU-10.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21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Verificación humana de IU-13. Tarjetas siguientes: IU-14 (tormenta sobre el motor: densidad x2, rayo en rama, eco cálido) e IU-15 (nieve en Canvas + niebla volumétrica SVG).</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2026-04-21T11:12:39.344Z</dcterms:created>
  <dcterms:modified xsi:type="dcterms:W3CDTF">2026-04-21T11:12:39.348Z</dcterms:modified>
</cp:coreProperties>
</file>

<file path=docProps/custom.xml><?xml version="1.0" encoding="utf-8"?>
<Properties xmlns="http://schemas.openxmlformats.org/officeDocument/2006/custom-properties" xmlns:vt="http://schemas.openxmlformats.org/officeDocument/2006/docPropsVTypes"/>
</file>