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(sesion 36): IU-18 cerrada en cian. Sistema de diseño base completado: 3 fuentes variables WOFF2 self-host en /fonts/ (JetBrains Mono, Space Grotesk, Archivo Black — total 81 KB subset latin), css/style.css con tokens (--phos-*, --ink-*, --hud-*, --amber*, --danger*, --grid-line*) y utilidades (.u-caps .u-tab .u-dim .u-phos .u-sans .u-black, placeholder poi-ph), linkado desde index.html antes del &lt;style&gt; inline. Service worker v4-2026-04-24 con PRECACHE ampliado (css + 3 WOFF2). Verificado en preview: 0 peticiones a fonts.googleapis.com/gstatic, tokens accesibles desde consola, V1 visualmente intacta. Pendiente desde sesion 34: BPC-15 e IU-16 en cian.</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Aprobacion humana de IU-18 (cian -&gt; verde) y arranque de IU-19 V1 Principal layout HUD: reemplazar el CSS y HTML de #vista1 por la maqueta HUD del prototipo (topbar crumbs ES·CASTILLA-LA MANCHA·TOLEDO + velocidad fosforo, shield A-4, proxima salida con borde fosforo, 3 pueblos cercanos, bloque wx lateral con mini-timeline 4 horas, strip inferior POI + gasolineras).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2026-04-24T13:07:21.494Z</dcterms:created>
  <dcterms:modified xsi:type="dcterms:W3CDTF">2026-04-24T13:07:21.501Z</dcterms:modified>
</cp:coreProperties>
</file>

<file path=docProps/custom.xml><?xml version="1.0" encoding="utf-8"?>
<Properties xmlns="http://schemas.openxmlformats.org/officeDocument/2006/custom-properties" xmlns:vt="http://schemas.openxmlformats.org/officeDocument/2006/docPropsVTypes"/>
</file>