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Bloque full-inmersión (IU-12 a IU-15) completo. IU-15 cerrada en sesión 32: nieve Canvas 2D (SnowFX) con copos blobby + halo nocturno y niebla volumétrica SVG (FogFX) con feTurbulence+feDisplacementMap. Fallback CSS por ?fogfallback=1. Sustituyen a la nieve y niebla CSS de IU-11.</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21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Verificación humana de IU-13, IU-14 e IU-15 en carretera en distintos momentos del día y condiciones meteo reales.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2026-04-21T11:42:40.729Z</dcterms:created>
  <dcterms:modified xsi:type="dcterms:W3CDTF">2026-04-21T11:42:40.731Z</dcterms:modified>
</cp:coreProperties>
</file>

<file path=docProps/custom.xml><?xml version="1.0" encoding="utf-8"?>
<Properties xmlns="http://schemas.openxmlformats.org/officeDocument/2006/custom-properties" xmlns:vt="http://schemas.openxmlformats.org/officeDocument/2006/docPropsVTypes"/>
</file>