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completa. Resiliencia API completa. Tanda de 10 tarjetas rojas cerradas en sesión 27 (BPC-14, FN-08, FN-07, PO-09, PO-10, PO-11, PO-12, MO-07, FN-09, IU-10). Todas en revisión (cyan).</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18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Verificación humana de las 10 tarjetas de sesión 27 más las 6 cyan pendientes de sesión 26. Cuando queden verdes, PEC-04 y PEC-05 quedarán desbloqueadas.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Los cambios de PO-11 corrigen un error de QID descubierto durante la sesión (Q56061 era "entidad territorial administrativa" genérica, no "entidad singular de población"; el QID correcto es Q3055118).</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2026-04-18T19:52:51.736Z</dcterms:created>
  <dcterms:modified xsi:type="dcterms:W3CDTF">2026-04-18T19:52:51.759Z</dcterms:modified>
</cp:coreProperties>
</file>

<file path=docProps/custom.xml><?xml version="1.0" encoding="utf-8"?>
<Properties xmlns="http://schemas.openxmlformats.org/officeDocument/2006/custom-properties" xmlns:vt="http://schemas.openxmlformats.org/officeDocument/2006/docPropsVTypes"/>
</file>