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Resiliencia API completa. IU-11 cerrada en sesión 28 completando el sistema de animaciones meteo de V2 (6 categorías cubiertas).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18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las tarjetas cyan pendientes (10 de sesión 27 + IU-11 de sesión 28). Con verificación queda preparado PEC-04/PEC-05.</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2026-04-18T20:01:22.091Z</dcterms:created>
  <dcterms:modified xsi:type="dcterms:W3CDTF">2026-04-18T20:01:22.095Z</dcterms:modified>
</cp:coreProperties>
</file>

<file path=docProps/custom.xml><?xml version="1.0" encoding="utf-8"?>
<Properties xmlns="http://schemas.openxmlformats.org/officeDocument/2006/custom-properties" xmlns:vt="http://schemas.openxmlformats.org/officeDocument/2006/docPropsVTypes"/>
</file>