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tbl>
      <w:tblPr>
        <w:tblW w:w="9360" w:type="dxa"/>
        <w:jc w:val="left"/>
        <w:tblInd w:w="0" w:type="dxa"/>
        <w:tblLayout w:type="fixed"/>
        <w:tblCellMar>
          <w:top w:w="900" w:type="dxa"/>
          <w:left w:w="500" w:type="dxa"/>
          <w:bottom w:w="900" w:type="dxa"/>
          <w:right w:w="500" w:type="dxa"/>
        </w:tblCellMar>
      </w:tblPr>
      <w:tblGrid>
        <w:gridCol w:w="9360"/>
      </w:tblGrid>
      <w:tr>
        <w:trPr/>
        <w:tc>
          <w:tcPr>
            <w:tcW w:w="9360" w:type="dxa"/>
            <w:tcBorders/>
            <w:shd w:fill="3A3A3A" w:val="clear"/>
          </w:tcPr>
          <w:p>
            <w:pPr>
              <w:pStyle w:val="Normal"/>
              <w:spacing w:before="0" w:after="200"/>
              <w:jc w:val="center"/>
              <w:rPr/>
            </w:pPr>
            <w:r>
              <w:rPr>
                <w:rFonts w:eastAsia="Calibri" w:cs="Calibri"/>
                <w:color w:val="BDD7EE"/>
                <w:sz w:val="32"/>
                <w:szCs w:val="32"/>
              </w:rPr>
              <w:t>Enterprise-Wide</w:t>
            </w:r>
          </w:p>
          <w:p>
            <w:pPr>
              <w:pStyle w:val="Normal"/>
              <w:spacing w:before="0" w:after="200"/>
              <w:jc w:val="center"/>
              <w:rPr/>
            </w:pPr>
            <w:r>
              <w:rPr>
                <w:rFonts w:eastAsia="Calibri" w:cs="Calibri"/>
                <w:b/>
                <w:bCs/>
                <w:color w:val="FFFFFF"/>
                <w:sz w:val="56"/>
                <w:szCs w:val="56"/>
              </w:rPr>
              <w:t>Cyber Incident Response Plan</w:t>
            </w:r>
          </w:p>
          <w:p>
            <w:pPr>
              <w:pStyle w:val="Normal"/>
              <w:spacing w:before="0" w:after="500"/>
              <w:jc w:val="center"/>
              <w:rPr/>
            </w:pPr>
            <w:r>
              <w:rPr>
                <w:rFonts w:eastAsia="Calibri" w:cs="Calibri"/>
                <w:color w:val="FFFFFF"/>
                <w:sz w:val="40"/>
                <w:szCs w:val="40"/>
              </w:rPr>
              <w:t>S</w:t>
            </w:r>
            <w:r>
              <w:rPr>
                <w:rFonts w:eastAsia="Calibri" w:cs="Calibri"/>
                <w:color w:val="FFFFFF"/>
                <w:sz w:val="40"/>
                <w:szCs w:val="40"/>
              </w:rPr>
              <w:t>anDwane</w:t>
            </w:r>
          </w:p>
          <w:p>
            <w:pPr>
              <w:pStyle w:val="Normal"/>
              <w:spacing w:before="0" w:after="80"/>
              <w:jc w:val="center"/>
              <w:rPr/>
            </w:pPr>
            <w:r>
              <w:rPr>
                <w:rFonts w:eastAsia="Calibri" w:cs="Calibri"/>
                <w:color w:val="D9D9D9"/>
                <w:sz w:val="20"/>
                <w:szCs w:val="20"/>
              </w:rPr>
              <w:t>Version 1.0  |  October 2026  |  Next review: October 2027</w:t>
            </w:r>
          </w:p>
          <w:p>
            <w:pPr>
              <w:pStyle w:val="Normal"/>
              <w:jc w:val="center"/>
              <w:rPr/>
            </w:pPr>
            <w:r>
              <w:rPr>
                <w:rFonts w:eastAsia="Calibri" w:cs="Calibri"/>
                <w:b/>
                <w:bCs/>
                <w:color w:val="FF9999"/>
                <w:sz w:val="20"/>
                <w:szCs w:val="20"/>
              </w:rPr>
              <w:t>Classification: CONFIDENTIAL – Internal Use Only</w:t>
            </w:r>
          </w:p>
        </w:tc>
      </w:tr>
    </w:tbl>
    <w:p>
      <w:pPr>
        <w:pStyle w:val="Normal"/>
        <w:spacing w:before="600" w:after="0"/>
        <w:jc w:val="center"/>
        <w:rPr/>
      </w:pPr>
      <w:r>
        <w:rPr>
          <w:rFonts w:eastAsia="Calibri" w:cs="Calibri"/>
          <w:i/>
          <w:iCs/>
          <w:sz w:val="20"/>
          <w:szCs w:val="20"/>
        </w:rPr>
        <w:t>To declare a cyber incident 24/7: call the Security Operations hotline [+1-XXX-XXX-XXXX] or email soc@.example. If Microsoft 365 email or Teams may be compromised, use the out-of-band channels in Section 6.4.</w:t>
      </w:r>
    </w:p>
    <w:p>
      <w:pPr>
        <w:pStyle w:val="Normal"/>
        <w:rPr/>
      </w:pPr>
      <w:r>
        <w:rPr/>
      </w:r>
      <w:r>
        <w:br w:type="page"/>
      </w:r>
    </w:p>
    <w:p>
      <w:pPr>
        <w:pStyle w:val="Normal"/>
        <w:spacing w:before="0" w:after="160"/>
        <w:rPr/>
      </w:pPr>
      <w:r>
        <w:rPr>
          <w:rFonts w:eastAsia="Calibri" w:cs="Calibri"/>
          <w:b/>
          <w:bCs/>
          <w:color w:val="1F4E79"/>
          <w:sz w:val="28"/>
          <w:szCs w:val="28"/>
        </w:rPr>
        <w:t>Document Control</w:t>
      </w:r>
    </w:p>
    <w:tbl>
      <w:tblPr>
        <w:tblW w:w="9360" w:type="dxa"/>
        <w:jc w:val="left"/>
        <w:tblInd w:w="0" w:type="dxa"/>
        <w:tblLayout w:type="fixed"/>
        <w:tblCellMar>
          <w:top w:w="60" w:type="dxa"/>
          <w:left w:w="100" w:type="dxa"/>
          <w:bottom w:w="60" w:type="dxa"/>
          <w:right w:w="100" w:type="dxa"/>
        </w:tblCellMar>
      </w:tblPr>
      <w:tblGrid>
        <w:gridCol w:w="900"/>
        <w:gridCol w:w="1100"/>
        <w:gridCol w:w="1900"/>
        <w:gridCol w:w="3760"/>
        <w:gridCol w:w="1700"/>
      </w:tblGrid>
      <w:tr>
        <w:trPr>
          <w:tblHeader w:val="true"/>
        </w:trPr>
        <w:tc>
          <w:tcPr>
            <w:tcW w:w="9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Version</w:t>
            </w:r>
          </w:p>
        </w:tc>
        <w:tc>
          <w:tcPr>
            <w:tcW w:w="11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Date</w:t>
            </w:r>
          </w:p>
        </w:tc>
        <w:tc>
          <w:tcPr>
            <w:tcW w:w="19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Author</w:t>
            </w:r>
          </w:p>
        </w:tc>
        <w:tc>
          <w:tcPr>
            <w:tcW w:w="37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Change summary</w:t>
            </w:r>
          </w:p>
        </w:tc>
        <w:tc>
          <w:tcPr>
            <w:tcW w:w="17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Approved by</w:t>
            </w:r>
          </w:p>
        </w:tc>
      </w:tr>
      <w:tr>
        <w:trPr/>
        <w:tc>
          <w:tcPr>
            <w:tcW w:w="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0.1</w:t>
            </w:r>
          </w:p>
        </w:tc>
        <w:tc>
          <w:tcPr>
            <w:tcW w:w="1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07/2019</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Template</w:t>
            </w:r>
          </w:p>
        </w:tc>
        <w:tc>
          <w:tcPr>
            <w:tcW w:w="37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Base template (adapted from NIST SP 800-61 based government template)</w:t>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t>
            </w:r>
          </w:p>
        </w:tc>
      </w:tr>
      <w:tr>
        <w:trPr/>
        <w:tc>
          <w:tcPr>
            <w:tcW w:w="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1.0</w:t>
            </w:r>
          </w:p>
        </w:tc>
        <w:tc>
          <w:tcPr>
            <w:tcW w:w="1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10/2026</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Information Security / GRC</w:t>
            </w:r>
          </w:p>
        </w:tc>
        <w:tc>
          <w:tcPr>
            <w:tcW w:w="37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Tailored for </w:t>
            </w:r>
            <w:r>
              <w:rPr>
                <w:rFonts w:eastAsia="Calibri" w:cs="Calibri"/>
                <w:sz w:val="18"/>
                <w:szCs w:val="18"/>
              </w:rPr>
              <w:t>SanDwane</w:t>
            </w:r>
            <w:r>
              <w:rPr>
                <w:rFonts w:eastAsia="Calibri" w:cs="Calibri"/>
                <w:sz w:val="18"/>
                <w:szCs w:val="18"/>
              </w:rPr>
              <w:t>’s enterprise-wide response, senior management and stakeholder engagement</w:t>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 (SEMT Chair)</w:t>
            </w:r>
          </w:p>
        </w:tc>
      </w:tr>
    </w:tbl>
    <w:p>
      <w:pPr>
        <w:pStyle w:val="Normal"/>
        <w:spacing w:before="0" w:after="80"/>
        <w:rPr/>
      </w:pPr>
      <w:r>
        <w:rPr/>
      </w:r>
    </w:p>
    <w:tbl>
      <w:tblPr>
        <w:tblW w:w="9360" w:type="dxa"/>
        <w:jc w:val="left"/>
        <w:tblInd w:w="0" w:type="dxa"/>
        <w:tblLayout w:type="fixed"/>
        <w:tblCellMar>
          <w:top w:w="60" w:type="dxa"/>
          <w:left w:w="100" w:type="dxa"/>
          <w:bottom w:w="60" w:type="dxa"/>
          <w:right w:w="100" w:type="dxa"/>
        </w:tblCellMar>
      </w:tblPr>
      <w:tblGrid>
        <w:gridCol w:w="3120"/>
        <w:gridCol w:w="3120"/>
        <w:gridCol w:w="3120"/>
      </w:tblGrid>
      <w:tr>
        <w:trPr>
          <w:tblHeader w:val="true"/>
        </w:trPr>
        <w:tc>
          <w:tcPr>
            <w:tcW w:w="312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Plan owner</w:t>
            </w:r>
          </w:p>
        </w:tc>
        <w:tc>
          <w:tcPr>
            <w:tcW w:w="312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Approving authority</w:t>
            </w:r>
          </w:p>
        </w:tc>
        <w:tc>
          <w:tcPr>
            <w:tcW w:w="312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Distribution</w:t>
            </w:r>
          </w:p>
        </w:tc>
      </w:tr>
      <w:tr>
        <w:trPr/>
        <w:tc>
          <w:tcPr>
            <w:tcW w:w="312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Information Security Officer (CISO)</w:t>
            </w:r>
          </w:p>
        </w:tc>
        <w:tc>
          <w:tcPr>
            <w:tcW w:w="312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Executive Officer, on behalf of the Board (Audit &amp; Risk Committee)</w:t>
            </w:r>
          </w:p>
        </w:tc>
        <w:tc>
          <w:tcPr>
            <w:tcW w:w="312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and SEMT members, Legal, Communications, HR, Quality/Regulatory Affairs. Printed copies held off-site by each SEMT member.</w:t>
            </w:r>
          </w:p>
        </w:tc>
      </w:tr>
    </w:tbl>
    <w:p>
      <w:pPr>
        <w:pStyle w:val="Normal"/>
        <w:spacing w:before="0" w:after="80"/>
        <w:rPr/>
      </w:pPr>
      <w:r>
        <w:rPr/>
      </w:r>
    </w:p>
    <w:p>
      <w:pPr>
        <w:pStyle w:val="Normal"/>
        <w:spacing w:before="200" w:after="160"/>
        <w:rPr/>
      </w:pPr>
      <w:r>
        <w:rPr>
          <w:rFonts w:eastAsia="Calibri" w:cs="Calibri"/>
          <w:b/>
          <w:bCs/>
          <w:color w:val="1F4E79"/>
          <w:sz w:val="28"/>
          <w:szCs w:val="28"/>
        </w:rPr>
        <w:t>Contents</w:t>
      </w:r>
    </w:p>
    <w:p>
      <w:pPr>
        <w:pStyle w:val="Normal"/>
        <w:spacing w:before="0" w:after="80"/>
        <w:rPr/>
      </w:pPr>
      <w:r>
        <w:rPr>
          <w:rFonts w:eastAsia="Calibri" w:cs="Calibri"/>
          <w:sz w:val="22"/>
          <w:szCs w:val="22"/>
        </w:rPr>
        <w:t>1. Introduction</w:t>
      </w:r>
    </w:p>
    <w:p>
      <w:pPr>
        <w:pStyle w:val="Normal"/>
        <w:spacing w:before="0" w:after="80"/>
        <w:rPr/>
      </w:pPr>
      <w:r>
        <w:rPr>
          <w:rFonts w:eastAsia="Calibri" w:cs="Calibri"/>
          <w:sz w:val="22"/>
          <w:szCs w:val="22"/>
        </w:rPr>
        <w:t>2. Terminology and Definitions</w:t>
      </w:r>
    </w:p>
    <w:p>
      <w:pPr>
        <w:pStyle w:val="Normal"/>
        <w:spacing w:before="0" w:after="80"/>
        <w:rPr/>
      </w:pPr>
      <w:r>
        <w:rPr>
          <w:rFonts w:eastAsia="Calibri" w:cs="Calibri"/>
          <w:sz w:val="22"/>
          <w:szCs w:val="22"/>
        </w:rPr>
        <w:t>3. Common Cyber Incidents and Responses</w:t>
      </w:r>
    </w:p>
    <w:p>
      <w:pPr>
        <w:pStyle w:val="Normal"/>
        <w:spacing w:before="0" w:after="80"/>
        <w:rPr/>
      </w:pPr>
      <w:r>
        <w:rPr>
          <w:rFonts w:eastAsia="Calibri" w:cs="Calibri"/>
          <w:sz w:val="22"/>
          <w:szCs w:val="22"/>
        </w:rPr>
        <w:t>4. Roles and Responsibilities (IMT, SEMT, Decision Rights)</w:t>
      </w:r>
    </w:p>
    <w:p>
      <w:pPr>
        <w:pStyle w:val="Normal"/>
        <w:spacing w:before="0" w:after="80"/>
        <w:rPr/>
      </w:pPr>
      <w:r>
        <w:rPr>
          <w:rFonts w:eastAsia="Calibri" w:cs="Calibri"/>
          <w:sz w:val="22"/>
          <w:szCs w:val="22"/>
        </w:rPr>
        <w:t>5. Incident Response Process (Detect, Contain, Communicate, Recover, Learn)</w:t>
      </w:r>
    </w:p>
    <w:p>
      <w:pPr>
        <w:pStyle w:val="Normal"/>
        <w:spacing w:before="0" w:after="80"/>
        <w:rPr/>
      </w:pPr>
      <w:r>
        <w:rPr>
          <w:rFonts w:eastAsia="Calibri" w:cs="Calibri"/>
          <w:sz w:val="22"/>
          <w:szCs w:val="22"/>
        </w:rPr>
        <w:t>6. Senior Management and Stakeholder Engagement</w:t>
      </w:r>
    </w:p>
    <w:p>
      <w:pPr>
        <w:pStyle w:val="Normal"/>
        <w:spacing w:before="0" w:after="80"/>
        <w:rPr/>
      </w:pPr>
      <w:r>
        <w:rPr>
          <w:rFonts w:eastAsia="Calibri" w:cs="Calibri"/>
          <w:sz w:val="22"/>
          <w:szCs w:val="22"/>
        </w:rPr>
        <w:t>Appendix A. Situation Update</w:t>
      </w:r>
    </w:p>
    <w:p>
      <w:pPr>
        <w:pStyle w:val="Normal"/>
        <w:spacing w:before="0" w:after="80"/>
        <w:rPr/>
      </w:pPr>
      <w:r>
        <w:rPr>
          <w:rFonts w:eastAsia="Calibri" w:cs="Calibri"/>
          <w:sz w:val="22"/>
          <w:szCs w:val="22"/>
        </w:rPr>
        <w:t>Appendix B. Incident Log</w:t>
      </w:r>
    </w:p>
    <w:p>
      <w:pPr>
        <w:pStyle w:val="Normal"/>
        <w:spacing w:before="0" w:after="80"/>
        <w:rPr/>
      </w:pPr>
      <w:r>
        <w:rPr>
          <w:rFonts w:eastAsia="Calibri" w:cs="Calibri"/>
          <w:sz w:val="22"/>
          <w:szCs w:val="22"/>
        </w:rPr>
        <w:t>Appendix C. Resolution Action Plan</w:t>
      </w:r>
    </w:p>
    <w:p>
      <w:pPr>
        <w:pStyle w:val="Normal"/>
        <w:spacing w:before="0" w:after="80"/>
        <w:rPr/>
      </w:pPr>
      <w:r>
        <w:rPr>
          <w:rFonts w:eastAsia="Calibri" w:cs="Calibri"/>
          <w:sz w:val="22"/>
          <w:szCs w:val="22"/>
        </w:rPr>
        <w:t>Appendix D. Evidence Register</w:t>
      </w:r>
    </w:p>
    <w:p>
      <w:pPr>
        <w:pStyle w:val="Normal"/>
        <w:spacing w:before="0" w:after="80"/>
        <w:rPr/>
      </w:pPr>
      <w:r>
        <w:rPr>
          <w:rFonts w:eastAsia="Calibri" w:cs="Calibri"/>
          <w:sz w:val="22"/>
          <w:szCs w:val="22"/>
        </w:rPr>
        <w:t>Appendix E. Critical Assets and Environment</w:t>
      </w:r>
    </w:p>
    <w:p>
      <w:pPr>
        <w:pStyle w:val="Normal"/>
        <w:spacing w:before="0" w:after="80"/>
        <w:rPr/>
      </w:pPr>
      <w:r>
        <w:rPr>
          <w:rFonts w:eastAsia="Calibri" w:cs="Calibri"/>
          <w:sz w:val="22"/>
          <w:szCs w:val="22"/>
        </w:rPr>
        <w:t>Appendix F. Key Contacts</w:t>
      </w:r>
    </w:p>
    <w:p>
      <w:pPr>
        <w:pStyle w:val="Normal"/>
        <w:rPr/>
      </w:pPr>
      <w:r>
        <w:rPr/>
      </w:r>
      <w:r>
        <w:br w:type="page"/>
      </w:r>
    </w:p>
    <w:p>
      <w:pPr>
        <w:pStyle w:val="Heading1"/>
        <w:spacing w:before="0" w:after="160"/>
        <w:rPr/>
      </w:pPr>
      <w:r>
        <w:rPr/>
        <w:t>1. Introduction</w:t>
      </w:r>
    </w:p>
    <w:p>
      <w:pPr>
        <w:pStyle w:val="Heading2"/>
        <w:rPr/>
      </w:pPr>
      <w:r>
        <w:rPr/>
        <w:t>1.1 Context</w:t>
      </w:r>
    </w:p>
    <w:p>
      <w:pPr>
        <w:pStyle w:val="Normal"/>
        <w:spacing w:before="0" w:after="120"/>
        <w:rPr/>
      </w:pPr>
      <w:r>
        <w:rPr>
          <w:rFonts w:eastAsia="Calibri" w:cs="Calibri"/>
          <w:sz w:val="21"/>
          <w:szCs w:val="21"/>
        </w:rPr>
        <w:t>SanDwane</w:t>
      </w:r>
      <w:r>
        <w:rPr>
          <w:rFonts w:eastAsia="Calibri" w:cs="Calibri"/>
          <w:sz w:val="21"/>
          <w:szCs w:val="21"/>
        </w:rPr>
        <w:t>'s is a pharmaceutical organization whose operations depend on Microsoft 365 (Exchange Online, Teams, OneDrive), Microsoft SharePoint for internal collaboration and document management, and the Microsoft Azure cloud for business applications and data. The organization processes highly sensitive information, including clinical trial data, adverse-event (pharmacovigilance) reports, regulatory submissions, intellectual property, and personal data of employees, patients and trial participants.</w:t>
      </w:r>
    </w:p>
    <w:p>
      <w:pPr>
        <w:pStyle w:val="Normal"/>
        <w:spacing w:before="0" w:after="120"/>
        <w:rPr/>
      </w:pPr>
      <w:r>
        <w:rPr>
          <w:rFonts w:eastAsia="Calibri" w:cs="Calibri"/>
          <w:sz w:val="21"/>
          <w:szCs w:val="21"/>
        </w:rPr>
        <w:t xml:space="preserve">Cyber security relates to protecting the confidentiality, integrity and availability of that information and the systems that process it, from both external attackers and insiders. A recent small data breach had minimal impact, but it showed that </w:t>
      </w:r>
      <w:r>
        <w:rPr>
          <w:rFonts w:eastAsia="Calibri" w:cs="Calibri"/>
          <w:sz w:val="21"/>
          <w:szCs w:val="21"/>
        </w:rPr>
        <w:t>SanDwane</w:t>
      </w:r>
      <w:r>
        <w:rPr>
          <w:rFonts w:eastAsia="Calibri" w:cs="Calibri"/>
          <w:sz w:val="21"/>
          <w:szCs w:val="21"/>
        </w:rPr>
        <w:t>'s has no defined procedure for engaging senior managers and stakeholders during an enterprise-wide cyber crisis. This plan closes that gap.</w:t>
      </w:r>
    </w:p>
    <w:p>
      <w:pPr>
        <w:pStyle w:val="Heading2"/>
        <w:rPr/>
      </w:pPr>
      <w:r>
        <w:rPr/>
        <w:t>1.2 Purpose</w:t>
      </w:r>
    </w:p>
    <w:p>
      <w:pPr>
        <w:pStyle w:val="Normal"/>
        <w:spacing w:before="0" w:after="120"/>
        <w:rPr/>
      </w:pPr>
      <w:r>
        <w:rPr>
          <w:rFonts w:eastAsia="Calibri" w:cs="Calibri"/>
          <w:sz w:val="21"/>
          <w:szCs w:val="21"/>
        </w:rPr>
        <w:t xml:space="preserve">This plan sets out an organized, repeatable approach to detecting, managing and recovering from cyber incidents across all of </w:t>
      </w:r>
      <w:r>
        <w:rPr>
          <w:rFonts w:eastAsia="Calibri" w:cs="Calibri"/>
          <w:sz w:val="21"/>
          <w:szCs w:val="21"/>
        </w:rPr>
        <w:t>SanDwane</w:t>
      </w:r>
      <w:r>
        <w:rPr>
          <w:rFonts w:eastAsia="Calibri" w:cs="Calibri"/>
          <w:sz w:val="21"/>
          <w:szCs w:val="21"/>
        </w:rPr>
        <w:t>’s business units, sites and cloud services. Its specific objectives are to:</w:t>
      </w:r>
    </w:p>
    <w:p>
      <w:pPr>
        <w:pStyle w:val="ListParagraph"/>
        <w:numPr>
          <w:ilvl w:val="0"/>
          <w:numId w:val="6"/>
        </w:numPr>
        <w:spacing w:before="0" w:after="60"/>
        <w:rPr/>
      </w:pPr>
      <w:r>
        <w:rPr>
          <w:rFonts w:eastAsia="Calibri" w:cs="Calibri"/>
          <w:sz w:val="21"/>
          <w:szCs w:val="21"/>
        </w:rPr>
        <w:t>Define how incidents are classified, and when and how they are escalated to senior management.</w:t>
      </w:r>
    </w:p>
    <w:p>
      <w:pPr>
        <w:pStyle w:val="ListParagraph"/>
        <w:numPr>
          <w:ilvl w:val="0"/>
          <w:numId w:val="7"/>
        </w:numPr>
        <w:spacing w:before="0" w:after="60"/>
        <w:rPr/>
      </w:pPr>
      <w:r>
        <w:rPr>
          <w:rFonts w:eastAsia="Calibri" w:cs="Calibri"/>
          <w:sz w:val="21"/>
          <w:szCs w:val="21"/>
        </w:rPr>
        <w:t>Establish clear roles, decision rights and authority for the Incident Management Team (IMT) and Senior Executive Management Team (SEMT).</w:t>
      </w:r>
    </w:p>
    <w:p>
      <w:pPr>
        <w:pStyle w:val="ListParagraph"/>
        <w:numPr>
          <w:ilvl w:val="0"/>
          <w:numId w:val="8"/>
        </w:numPr>
        <w:spacing w:before="0" w:after="60"/>
        <w:rPr/>
      </w:pPr>
      <w:r>
        <w:rPr>
          <w:rFonts w:eastAsia="Calibri" w:cs="Calibri"/>
          <w:sz w:val="21"/>
          <w:szCs w:val="21"/>
        </w:rPr>
        <w:t>Ensure timely, accurate and approved communication with employees, regulators, partners, patients, investors and the media.</w:t>
      </w:r>
    </w:p>
    <w:p>
      <w:pPr>
        <w:pStyle w:val="ListParagraph"/>
        <w:numPr>
          <w:ilvl w:val="0"/>
          <w:numId w:val="9"/>
        </w:numPr>
        <w:spacing w:before="0" w:after="60"/>
        <w:rPr/>
      </w:pPr>
      <w:r>
        <w:rPr>
          <w:rFonts w:eastAsia="Calibri" w:cs="Calibri"/>
          <w:sz w:val="21"/>
          <w:szCs w:val="21"/>
        </w:rPr>
        <w:t>Protect patient safety, product quality and regulatory compliance throughout an incident.</w:t>
      </w:r>
    </w:p>
    <w:p>
      <w:pPr>
        <w:pStyle w:val="ListParagraph"/>
        <w:numPr>
          <w:ilvl w:val="0"/>
          <w:numId w:val="10"/>
        </w:numPr>
        <w:spacing w:before="0" w:after="60"/>
        <w:rPr/>
      </w:pPr>
      <w:r>
        <w:rPr>
          <w:rFonts w:eastAsia="Calibri" w:cs="Calibri"/>
          <w:sz w:val="21"/>
          <w:szCs w:val="21"/>
        </w:rPr>
        <w:t>Preserve evidence and capture lessons learned to continually improve.</w:t>
      </w:r>
    </w:p>
    <w:p>
      <w:pPr>
        <w:pStyle w:val="Normal"/>
        <w:spacing w:before="0" w:after="120"/>
        <w:rPr/>
      </w:pPr>
      <w:r>
        <w:rPr>
          <w:rFonts w:eastAsia="Calibri" w:cs="Calibri"/>
          <w:sz w:val="21"/>
          <w:szCs w:val="21"/>
        </w:rPr>
        <w:t>This plan is based on the NIST Computer Security Incident Handling Guide (SP 800-61) and the NIST Cybersecurity Framework 2.0 (Govern, Identify, Protect, Detect, Respond, Recover).</w:t>
      </w:r>
    </w:p>
    <w:p>
      <w:pPr>
        <w:pStyle w:val="Heading2"/>
        <w:rPr/>
      </w:pPr>
      <w:r>
        <w:rPr/>
        <w:t>1.3 Scope</w:t>
      </w:r>
    </w:p>
    <w:p>
      <w:pPr>
        <w:pStyle w:val="Normal"/>
        <w:spacing w:before="0" w:after="120"/>
        <w:rPr/>
      </w:pPr>
      <w:r>
        <w:rPr>
          <w:rFonts w:eastAsia="Calibri" w:cs="Calibri"/>
          <w:sz w:val="21"/>
          <w:szCs w:val="21"/>
        </w:rPr>
        <w:t xml:space="preserve">This plan applies to all </w:t>
      </w:r>
      <w:r>
        <w:rPr>
          <w:rFonts w:eastAsia="Calibri" w:cs="Calibri"/>
          <w:sz w:val="21"/>
          <w:szCs w:val="21"/>
        </w:rPr>
        <w:t>SanDwane</w:t>
      </w:r>
      <w:r>
        <w:rPr>
          <w:rFonts w:eastAsia="Calibri" w:cs="Calibri"/>
          <w:sz w:val="21"/>
          <w:szCs w:val="21"/>
        </w:rPr>
        <w:t xml:space="preserve">'s employees, contractors and third parties who access </w:t>
      </w:r>
      <w:r>
        <w:rPr>
          <w:rFonts w:eastAsia="Calibri" w:cs="Calibri"/>
          <w:sz w:val="21"/>
          <w:szCs w:val="21"/>
        </w:rPr>
        <w:t>SanDwane</w:t>
      </w:r>
      <w:r>
        <w:rPr>
          <w:rFonts w:eastAsia="Calibri" w:cs="Calibri"/>
          <w:sz w:val="21"/>
          <w:szCs w:val="21"/>
        </w:rPr>
        <w:t>'s systems, and covers:</w:t>
      </w:r>
    </w:p>
    <w:p>
      <w:pPr>
        <w:pStyle w:val="ListParagraph"/>
        <w:numPr>
          <w:ilvl w:val="0"/>
          <w:numId w:val="11"/>
        </w:numPr>
        <w:spacing w:before="0" w:after="60"/>
        <w:rPr/>
      </w:pPr>
      <w:r>
        <w:rPr>
          <w:rFonts w:eastAsia="Calibri" w:cs="Calibri"/>
          <w:sz w:val="21"/>
          <w:szCs w:val="21"/>
        </w:rPr>
        <w:t>Microsoft 365 tenant (Exchange Online, Teams, OneDrive, SharePoint Online) and Microsoft Entra ID (identity).</w:t>
      </w:r>
    </w:p>
    <w:p>
      <w:pPr>
        <w:pStyle w:val="ListParagraph"/>
        <w:numPr>
          <w:ilvl w:val="0"/>
          <w:numId w:val="12"/>
        </w:numPr>
        <w:spacing w:before="0" w:after="60"/>
        <w:rPr/>
      </w:pPr>
      <w:r>
        <w:rPr>
          <w:rFonts w:eastAsia="Calibri" w:cs="Calibri"/>
          <w:sz w:val="21"/>
          <w:szCs w:val="21"/>
        </w:rPr>
        <w:t>Microsoft Azure subscriptions, workloads and data (virtual machines, storage, databases, Key Vault).</w:t>
      </w:r>
    </w:p>
    <w:p>
      <w:pPr>
        <w:pStyle w:val="ListParagraph"/>
        <w:numPr>
          <w:ilvl w:val="0"/>
          <w:numId w:val="13"/>
        </w:numPr>
        <w:spacing w:before="0" w:after="60"/>
        <w:rPr/>
      </w:pPr>
      <w:r>
        <w:rPr>
          <w:rFonts w:eastAsia="Calibri" w:cs="Calibri"/>
          <w:sz w:val="21"/>
          <w:szCs w:val="21"/>
        </w:rPr>
        <w:t>Endpoints (laptops, desktops, mobile devices), corporate networks and remote access.</w:t>
      </w:r>
    </w:p>
    <w:p>
      <w:pPr>
        <w:pStyle w:val="ListParagraph"/>
        <w:numPr>
          <w:ilvl w:val="0"/>
          <w:numId w:val="14"/>
        </w:numPr>
        <w:spacing w:before="0" w:after="60"/>
        <w:rPr/>
      </w:pPr>
      <w:r>
        <w:rPr>
          <w:rFonts w:eastAsia="Calibri" w:cs="Calibri"/>
          <w:sz w:val="21"/>
          <w:szCs w:val="21"/>
        </w:rPr>
        <w:t>Laboratory, manufacturing and quality systems (including GxP-validated and operational technology systems).</w:t>
      </w:r>
    </w:p>
    <w:p>
      <w:pPr>
        <w:pStyle w:val="ListParagraph"/>
        <w:numPr>
          <w:ilvl w:val="0"/>
          <w:numId w:val="15"/>
        </w:numPr>
        <w:spacing w:before="0" w:after="60"/>
        <w:rPr/>
      </w:pPr>
      <w:r>
        <w:rPr>
          <w:rFonts w:eastAsia="Calibri" w:cs="Calibri"/>
          <w:sz w:val="21"/>
          <w:szCs w:val="21"/>
        </w:rPr>
        <w:t xml:space="preserve">Third-party and supplier services that store or process </w:t>
      </w:r>
      <w:r>
        <w:rPr>
          <w:rFonts w:eastAsia="Calibri" w:cs="Calibri"/>
          <w:sz w:val="21"/>
          <w:szCs w:val="21"/>
        </w:rPr>
        <w:t>SanDwane</w:t>
      </w:r>
      <w:r>
        <w:rPr>
          <w:rFonts w:eastAsia="Calibri" w:cs="Calibri"/>
          <w:sz w:val="21"/>
          <w:szCs w:val="21"/>
        </w:rPr>
        <w:t>’s data (e.g. contract research organizations).</w:t>
      </w:r>
    </w:p>
    <w:p>
      <w:pPr>
        <w:pStyle w:val="Heading2"/>
        <w:rPr/>
      </w:pPr>
      <w:r>
        <w:rPr/>
        <w:t>1.4 Authority</w:t>
      </w:r>
    </w:p>
    <w:p>
      <w:pPr>
        <w:pStyle w:val="Normal"/>
        <w:spacing w:before="0" w:after="120"/>
        <w:rPr/>
      </w:pPr>
      <w:r>
        <w:rPr>
          <w:rFonts w:eastAsia="Calibri" w:cs="Calibri"/>
          <w:sz w:val="21"/>
          <w:szCs w:val="21"/>
        </w:rPr>
        <w:t xml:space="preserve">This plan is owned and maintained by the </w:t>
      </w:r>
      <w:r>
        <w:rPr>
          <w:rFonts w:eastAsia="Calibri" w:cs="Calibri"/>
          <w:b/>
          <w:bCs/>
          <w:sz w:val="21"/>
          <w:szCs w:val="21"/>
        </w:rPr>
        <w:t>Chief Information Security Officer (CISO)</w:t>
      </w:r>
      <w:r>
        <w:rPr>
          <w:rFonts w:eastAsia="Calibri" w:cs="Calibri"/>
          <w:sz w:val="21"/>
          <w:szCs w:val="21"/>
        </w:rPr>
        <w:t xml:space="preserve">. It is endorsed by the </w:t>
      </w:r>
      <w:r>
        <w:rPr>
          <w:rFonts w:eastAsia="Calibri" w:cs="Calibri"/>
          <w:b/>
          <w:bCs/>
          <w:sz w:val="21"/>
          <w:szCs w:val="21"/>
        </w:rPr>
        <w:t>Chief Executive Officer (CEO)</w:t>
      </w:r>
      <w:r>
        <w:rPr>
          <w:rFonts w:eastAsia="Calibri" w:cs="Calibri"/>
          <w:sz w:val="21"/>
          <w:szCs w:val="21"/>
        </w:rPr>
        <w:t xml:space="preserve"> on behalf of the Board's Audit &amp; Risk Committee, who is accountable for ensuring </w:t>
      </w:r>
      <w:r>
        <w:rPr>
          <w:rFonts w:eastAsia="Calibri" w:cs="Calibri"/>
          <w:sz w:val="21"/>
          <w:szCs w:val="21"/>
        </w:rPr>
        <w:t>SanDwane</w:t>
      </w:r>
      <w:r>
        <w:rPr>
          <w:rFonts w:eastAsia="Calibri" w:cs="Calibri"/>
          <w:sz w:val="21"/>
          <w:szCs w:val="21"/>
        </w:rPr>
        <w:t xml:space="preserve"> maintains a dependable and secure ICT environment. The Incident Manager is authorized to take immediate containment actions (e.g. disabling accounts, isolating devices) without prior approval when delay would increase harm. Decisions with major business impact are reserved for the Senior Executive Management Team (Section 4.3).</w:t>
      </w:r>
    </w:p>
    <w:p>
      <w:pPr>
        <w:pStyle w:val="Heading2"/>
        <w:rPr/>
      </w:pPr>
      <w:r>
        <w:rPr/>
        <w:t>1.5 Review and Testing</w:t>
      </w:r>
    </w:p>
    <w:p>
      <w:pPr>
        <w:pStyle w:val="ListParagraph"/>
        <w:numPr>
          <w:ilvl w:val="0"/>
          <w:numId w:val="16"/>
        </w:numPr>
        <w:spacing w:before="0" w:after="60"/>
        <w:rPr/>
      </w:pPr>
      <w:r>
        <w:rPr>
          <w:rFonts w:eastAsia="Calibri" w:cs="Calibri"/>
          <w:sz w:val="21"/>
          <w:szCs w:val="21"/>
        </w:rPr>
        <w:t xml:space="preserve">The plan is reviewed </w:t>
      </w:r>
      <w:r>
        <w:rPr>
          <w:rFonts w:eastAsia="Calibri" w:cs="Calibri"/>
          <w:b/>
          <w:bCs/>
          <w:sz w:val="21"/>
          <w:szCs w:val="21"/>
        </w:rPr>
        <w:t>annually</w:t>
      </w:r>
      <w:r>
        <w:rPr>
          <w:rFonts w:eastAsia="Calibri" w:cs="Calibri"/>
          <w:sz w:val="21"/>
          <w:szCs w:val="21"/>
        </w:rPr>
        <w:t xml:space="preserve"> by the CISO, after every Category 2 or higher incident, and after significant changes to systems, structure or regulation.</w:t>
      </w:r>
    </w:p>
    <w:p>
      <w:pPr>
        <w:pStyle w:val="ListParagraph"/>
        <w:numPr>
          <w:ilvl w:val="0"/>
          <w:numId w:val="17"/>
        </w:numPr>
        <w:spacing w:before="0" w:after="60"/>
        <w:rPr/>
      </w:pPr>
      <w:r>
        <w:rPr>
          <w:rFonts w:eastAsia="Calibri" w:cs="Calibri"/>
          <w:sz w:val="21"/>
          <w:szCs w:val="21"/>
        </w:rPr>
        <w:t xml:space="preserve">The IMT runs a </w:t>
      </w:r>
      <w:r>
        <w:rPr>
          <w:rFonts w:eastAsia="Calibri" w:cs="Calibri"/>
          <w:b/>
          <w:bCs/>
          <w:sz w:val="21"/>
          <w:szCs w:val="21"/>
        </w:rPr>
        <w:t>technical exercise</w:t>
      </w:r>
      <w:r>
        <w:rPr>
          <w:rFonts w:eastAsia="Calibri" w:cs="Calibri"/>
          <w:sz w:val="21"/>
          <w:szCs w:val="21"/>
        </w:rPr>
        <w:t xml:space="preserve"> at least twice a year (e.g. ransomware, account compromise, data leak).</w:t>
      </w:r>
    </w:p>
    <w:p>
      <w:pPr>
        <w:pStyle w:val="ListParagraph"/>
        <w:numPr>
          <w:ilvl w:val="0"/>
          <w:numId w:val="18"/>
        </w:numPr>
        <w:spacing w:before="0" w:after="60"/>
        <w:rPr/>
      </w:pPr>
      <w:r>
        <w:rPr>
          <w:rFonts w:eastAsia="Calibri" w:cs="Calibri"/>
          <w:sz w:val="21"/>
          <w:szCs w:val="21"/>
        </w:rPr>
        <w:t xml:space="preserve">The SEMT runs a </w:t>
      </w:r>
      <w:r>
        <w:rPr>
          <w:rFonts w:eastAsia="Calibri" w:cs="Calibri"/>
          <w:b/>
          <w:bCs/>
          <w:sz w:val="21"/>
          <w:szCs w:val="21"/>
        </w:rPr>
        <w:t>tabletop crisis exercise</w:t>
      </w:r>
      <w:r>
        <w:rPr>
          <w:rFonts w:eastAsia="Calibri" w:cs="Calibri"/>
          <w:sz w:val="21"/>
          <w:szCs w:val="21"/>
        </w:rPr>
        <w:t xml:space="preserve"> at least once a year, including a scenario where Microsoft 365 is unavailable.</w:t>
      </w:r>
    </w:p>
    <w:p>
      <w:pPr>
        <w:pStyle w:val="ListParagraph"/>
        <w:numPr>
          <w:ilvl w:val="0"/>
          <w:numId w:val="19"/>
        </w:numPr>
        <w:spacing w:before="0" w:after="60"/>
        <w:rPr/>
      </w:pPr>
      <w:r>
        <w:rPr>
          <w:rFonts w:eastAsia="Calibri" w:cs="Calibri"/>
          <w:sz w:val="21"/>
          <w:szCs w:val="21"/>
        </w:rPr>
        <w:t xml:space="preserve">Contact lists (Appendix E and F) are verified </w:t>
      </w:r>
      <w:r>
        <w:rPr>
          <w:rFonts w:eastAsia="Calibri" w:cs="Calibri"/>
          <w:b/>
          <w:bCs/>
          <w:sz w:val="21"/>
          <w:szCs w:val="21"/>
        </w:rPr>
        <w:t>quarterly</w:t>
      </w:r>
      <w:r>
        <w:rPr>
          <w:rFonts w:eastAsia="Calibri" w:cs="Calibri"/>
          <w:sz w:val="21"/>
          <w:szCs w:val="21"/>
        </w:rPr>
        <w:t>.</w:t>
      </w:r>
    </w:p>
    <w:p>
      <w:pPr>
        <w:pStyle w:val="Heading1"/>
        <w:rPr/>
      </w:pPr>
      <w:r>
        <w:rPr/>
        <w:t>2. Terminology and Definitions</w:t>
      </w:r>
    </w:p>
    <w:tbl>
      <w:tblPr>
        <w:tblW w:w="9360" w:type="dxa"/>
        <w:jc w:val="left"/>
        <w:tblInd w:w="0" w:type="dxa"/>
        <w:tblLayout w:type="fixed"/>
        <w:tblCellMar>
          <w:top w:w="60" w:type="dxa"/>
          <w:left w:w="100" w:type="dxa"/>
          <w:bottom w:w="60" w:type="dxa"/>
          <w:right w:w="100" w:type="dxa"/>
        </w:tblCellMar>
      </w:tblPr>
      <w:tblGrid>
        <w:gridCol w:w="2398"/>
        <w:gridCol w:w="6961"/>
      </w:tblGrid>
      <w:tr>
        <w:trPr>
          <w:tblHeader w:val="true"/>
        </w:trPr>
        <w:tc>
          <w:tcPr>
            <w:tcW w:w="23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Term</w:t>
            </w:r>
          </w:p>
        </w:tc>
        <w:tc>
          <w:tcPr>
            <w:tcW w:w="6961"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Definition</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Cyber event</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An observable occurrence that may become, but is not confirmed as, a cyber incident. Examples: multiple failed sign-ins, an antivirus alert, a user reporting a suspicious email, an unexpected configuration change.</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Cyber incident</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 confirmed breach of security policy that threatens the confidentiality, integrity or availability of information or systems and requires corrective action. Examples: malware or ransomware outbreak, compromised account, unauthorized disclosure of sensitive data, denial of service.</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Data breach</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 security incident leading to accidental or unlawful destruction, loss, alteration, unauthorized disclosure of, or access to, personal or confidential data.</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Cyber crisis</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An incident with enterprise-wide or severe impact (Category 1) that requires the SEMT to direct the response.</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IMT</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Management Team: the operational team that manages the technical and business response.</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SEMT</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Senior Executive Management Team: the executive team that provides strategic direction, decisions and stakeholder engagement in serious incidents.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Incident Manager</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The person who leads the IMT and is the single point of coordination between the IMT and the SEMT.</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Out-of-band communication</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 channels independent of the corporate Microsoft 365 environment, used if it is compromised or unavailable.</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GxP</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Good Practice regulations (e.g. GMP, GCP, GLP) governing pharmaceutical manufacturing, clinical and laboratory systems.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RTO / RPO</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Recovery Time Objective (how quickly a service must be restored) / Recovery Point Objective (maximum acceptable data loss).</w:t>
            </w:r>
          </w:p>
        </w:tc>
      </w:tr>
    </w:tbl>
    <w:p>
      <w:pPr>
        <w:pStyle w:val="Heading1"/>
        <w:rPr/>
      </w:pPr>
      <w:r>
        <w:rPr/>
        <w:t>3. Common Cyber Incidents and Responses</w:t>
      </w:r>
    </w:p>
    <w:p>
      <w:pPr>
        <w:pStyle w:val="Normal"/>
        <w:spacing w:before="0" w:after="120"/>
        <w:rPr/>
      </w:pPr>
      <w:r>
        <w:rPr>
          <w:rFonts w:eastAsia="Calibri" w:cs="Calibri"/>
          <w:sz w:val="21"/>
          <w:szCs w:val="21"/>
        </w:rPr>
        <w:t>The table below lists common incident types and the minimum initial response. Detailed technical playbooks are maintained by the Security Operations team.</w:t>
      </w:r>
    </w:p>
    <w:tbl>
      <w:tblPr>
        <w:tblW w:w="9360" w:type="dxa"/>
        <w:jc w:val="left"/>
        <w:tblInd w:w="0" w:type="dxa"/>
        <w:tblLayout w:type="fixed"/>
        <w:tblCellMar>
          <w:top w:w="60" w:type="dxa"/>
          <w:left w:w="100" w:type="dxa"/>
          <w:bottom w:w="60" w:type="dxa"/>
          <w:right w:w="100" w:type="dxa"/>
        </w:tblCellMar>
      </w:tblPr>
      <w:tblGrid>
        <w:gridCol w:w="498"/>
        <w:gridCol w:w="3000"/>
        <w:gridCol w:w="5862"/>
      </w:tblGrid>
      <w:tr>
        <w:trPr>
          <w:tblHeader w:val="true"/>
        </w:trPr>
        <w:tc>
          <w:tcPr>
            <w:tcW w:w="4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w:t>
            </w:r>
          </w:p>
        </w:tc>
        <w:tc>
          <w:tcPr>
            <w:tcW w:w="30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Type / Description</w:t>
            </w:r>
          </w:p>
        </w:tc>
        <w:tc>
          <w:tcPr>
            <w:tcW w:w="58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Initial response to minimize harm (</w:t>
            </w:r>
            <w:r>
              <w:rPr>
                <w:rFonts w:eastAsia="Calibri" w:cs="Calibri"/>
                <w:b/>
                <w:bCs/>
                <w:sz w:val="18"/>
                <w:szCs w:val="18"/>
              </w:rPr>
              <w:t>SanDwane</w:t>
            </w:r>
            <w:r>
              <w:rPr>
                <w:rFonts w:eastAsia="Calibri" w:cs="Calibri"/>
                <w:b/>
                <w:bCs/>
                <w:sz w:val="18"/>
                <w:szCs w:val="18"/>
              </w:rPr>
              <w:t>’s environment)</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Ransomware</w:t>
            </w:r>
            <w:r>
              <w:rPr>
                <w:rFonts w:eastAsia="Calibri" w:cs="Calibri"/>
                <w:sz w:val="18"/>
                <w:szCs w:val="18"/>
              </w:rPr>
              <w:t>: malware that encrypts or locks data until a ransom is paid.</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20"/>
              </w:numPr>
              <w:spacing w:before="0" w:after="20"/>
              <w:rPr/>
            </w:pPr>
            <w:r>
              <w:rPr>
                <w:rFonts w:eastAsia="Calibri" w:cs="Calibri"/>
                <w:sz w:val="18"/>
                <w:szCs w:val="18"/>
              </w:rPr>
              <w:t>Isolate affected devices via Microsoft Defender for Endpoint (device isolation).</w:t>
            </w:r>
          </w:p>
          <w:p>
            <w:pPr>
              <w:pStyle w:val="ListParagraph"/>
              <w:numPr>
                <w:ilvl w:val="0"/>
                <w:numId w:val="21"/>
              </w:numPr>
              <w:spacing w:before="0" w:after="20"/>
              <w:rPr/>
            </w:pPr>
            <w:r>
              <w:rPr>
                <w:rFonts w:eastAsia="Calibri" w:cs="Calibri"/>
                <w:sz w:val="18"/>
                <w:szCs w:val="18"/>
              </w:rPr>
              <w:t>Disable compromised accounts in Entra ID and revoke sessions.</w:t>
            </w:r>
          </w:p>
          <w:p>
            <w:pPr>
              <w:pStyle w:val="ListParagraph"/>
              <w:numPr>
                <w:ilvl w:val="0"/>
                <w:numId w:val="22"/>
              </w:numPr>
              <w:spacing w:before="0" w:after="20"/>
              <w:rPr/>
            </w:pPr>
            <w:r>
              <w:rPr>
                <w:rFonts w:eastAsia="Calibri" w:cs="Calibri"/>
                <w:sz w:val="18"/>
                <w:szCs w:val="18"/>
              </w:rPr>
              <w:t>Protect backups (Azure Backup immutable vaults) and verify they are unaffected.</w:t>
            </w:r>
          </w:p>
          <w:p>
            <w:pPr>
              <w:pStyle w:val="ListParagraph"/>
              <w:numPr>
                <w:ilvl w:val="0"/>
                <w:numId w:val="23"/>
              </w:numPr>
              <w:spacing w:before="0" w:after="20"/>
              <w:rPr/>
            </w:pPr>
            <w:r>
              <w:rPr>
                <w:rFonts w:eastAsia="Calibri" w:cs="Calibri"/>
                <w:sz w:val="18"/>
                <w:szCs w:val="18"/>
              </w:rPr>
              <w:t xml:space="preserve">Escalate immediately to Category 1 or 2. </w:t>
            </w:r>
            <w:r>
              <w:rPr>
                <w:rFonts w:eastAsia="Calibri" w:cs="Calibri"/>
                <w:b/>
                <w:bCs/>
                <w:sz w:val="18"/>
                <w:szCs w:val="18"/>
              </w:rPr>
              <w:t>No ransom decision is made by the IMT</w:t>
            </w:r>
            <w:r>
              <w:rPr>
                <w:rFonts w:eastAsia="Calibri" w:cs="Calibri"/>
                <w:sz w:val="18"/>
                <w:szCs w:val="18"/>
              </w:rPr>
              <w:t>: it is reserved for the SEMT with Legal advice.</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2</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Malware infection</w:t>
            </w:r>
            <w:r>
              <w:rPr>
                <w:rFonts w:eastAsia="Calibri" w:cs="Calibri"/>
                <w:sz w:val="18"/>
                <w:szCs w:val="18"/>
              </w:rPr>
              <w:t>: virus, worm, Trojan or other malicious code.</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24"/>
              </w:numPr>
              <w:spacing w:before="0" w:after="20"/>
              <w:rPr/>
            </w:pPr>
            <w:r>
              <w:rPr>
                <w:rFonts w:eastAsia="Calibri" w:cs="Calibri"/>
                <w:sz w:val="18"/>
                <w:szCs w:val="18"/>
              </w:rPr>
              <w:t>Isolate the device; run a full Defender scan.</w:t>
            </w:r>
          </w:p>
          <w:p>
            <w:pPr>
              <w:pStyle w:val="ListParagraph"/>
              <w:numPr>
                <w:ilvl w:val="0"/>
                <w:numId w:val="25"/>
              </w:numPr>
              <w:spacing w:before="0" w:after="20"/>
              <w:rPr/>
            </w:pPr>
            <w:r>
              <w:rPr>
                <w:rFonts w:eastAsia="Calibri" w:cs="Calibri"/>
                <w:sz w:val="18"/>
                <w:szCs w:val="18"/>
              </w:rPr>
              <w:t>Capture logs and indicators of compromise (IOCs); search for the same IOCs across all devices.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3</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Business email / account compromise</w:t>
            </w:r>
            <w:r>
              <w:rPr>
                <w:rFonts w:eastAsia="Calibri" w:cs="Calibri"/>
                <w:sz w:val="18"/>
                <w:szCs w:val="18"/>
              </w:rPr>
              <w:t>: attacker gains control of a Microsoft 365 account.</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26"/>
              </w:numPr>
              <w:spacing w:before="0" w:after="20"/>
              <w:rPr/>
            </w:pPr>
            <w:r>
              <w:rPr>
                <w:rFonts w:eastAsia="Calibri" w:cs="Calibri"/>
                <w:sz w:val="18"/>
                <w:szCs w:val="18"/>
              </w:rPr>
              <w:t>Reset password, revoke sessions and require MFA re-registration.</w:t>
            </w:r>
          </w:p>
          <w:p>
            <w:pPr>
              <w:pStyle w:val="ListParagraph"/>
              <w:numPr>
                <w:ilvl w:val="0"/>
                <w:numId w:val="27"/>
              </w:numPr>
              <w:spacing w:before="0" w:after="20"/>
              <w:rPr/>
            </w:pPr>
            <w:r>
              <w:rPr>
                <w:rFonts w:eastAsia="Calibri" w:cs="Calibri"/>
                <w:sz w:val="18"/>
                <w:szCs w:val="18"/>
              </w:rPr>
              <w:t>Remove malicious inbox rules, forwarding and OAuth app consents.</w:t>
            </w:r>
          </w:p>
          <w:p>
            <w:pPr>
              <w:pStyle w:val="ListParagraph"/>
              <w:numPr>
                <w:ilvl w:val="0"/>
                <w:numId w:val="28"/>
              </w:numPr>
              <w:spacing w:before="0" w:after="20"/>
              <w:rPr/>
            </w:pPr>
            <w:r>
              <w:rPr>
                <w:rFonts w:eastAsia="Calibri" w:cs="Calibri"/>
                <w:sz w:val="18"/>
                <w:szCs w:val="18"/>
              </w:rPr>
              <w:t>Review Purview audit logs for mailbox and SharePoint access.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4</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Phishing and social engineering</w:t>
            </w:r>
            <w:r>
              <w:rPr>
                <w:rFonts w:eastAsia="Calibri" w:cs="Calibri"/>
                <w:sz w:val="18"/>
                <w:szCs w:val="18"/>
              </w:rPr>
              <w:t>: deceptive messages designed to steal credentials or deliver malware.</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29"/>
              </w:numPr>
              <w:spacing w:before="0" w:after="20"/>
              <w:rPr/>
            </w:pPr>
            <w:r>
              <w:rPr>
                <w:rFonts w:eastAsia="Calibri" w:cs="Calibri"/>
                <w:sz w:val="18"/>
                <w:szCs w:val="18"/>
              </w:rPr>
              <w:t>Purge the message from all mailboxes (Defender for Office 365).</w:t>
            </w:r>
          </w:p>
          <w:p>
            <w:pPr>
              <w:pStyle w:val="ListParagraph"/>
              <w:numPr>
                <w:ilvl w:val="0"/>
                <w:numId w:val="30"/>
              </w:numPr>
              <w:spacing w:before="0" w:after="20"/>
              <w:rPr/>
            </w:pPr>
            <w:r>
              <w:rPr>
                <w:rFonts w:eastAsia="Calibri" w:cs="Calibri"/>
                <w:sz w:val="18"/>
                <w:szCs w:val="18"/>
              </w:rPr>
              <w:t>Identify users who clicked or entered credentials; reset as needed.</w:t>
            </w:r>
          </w:p>
          <w:p>
            <w:pPr>
              <w:pStyle w:val="ListParagraph"/>
              <w:numPr>
                <w:ilvl w:val="0"/>
                <w:numId w:val="31"/>
              </w:numPr>
              <w:spacing w:before="0" w:after="20"/>
              <w:rPr/>
            </w:pPr>
            <w:r>
              <w:rPr>
                <w:rFonts w:eastAsia="Calibri" w:cs="Calibri"/>
                <w:sz w:val="18"/>
                <w:szCs w:val="18"/>
              </w:rPr>
              <w:t>Block sender, domain and URLs.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5</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Data breach / data leak</w:t>
            </w:r>
            <w:r>
              <w:rPr>
                <w:rFonts w:eastAsia="Calibri" w:cs="Calibri"/>
                <w:sz w:val="18"/>
                <w:szCs w:val="18"/>
              </w:rPr>
              <w:t>: unauthorized access to, or disclosure of, sensitive or personal data (including insider leaks).</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32"/>
              </w:numPr>
              <w:spacing w:before="0" w:after="20"/>
              <w:rPr/>
            </w:pPr>
            <w:r>
              <w:rPr>
                <w:rFonts w:eastAsia="Calibri" w:cs="Calibri"/>
                <w:sz w:val="18"/>
                <w:szCs w:val="18"/>
              </w:rPr>
              <w:t>Contain: revoke sharing links, remove access, recall or block where possible.</w:t>
            </w:r>
          </w:p>
          <w:p>
            <w:pPr>
              <w:pStyle w:val="ListParagraph"/>
              <w:numPr>
                <w:ilvl w:val="0"/>
                <w:numId w:val="33"/>
              </w:numPr>
              <w:spacing w:before="0" w:after="20"/>
              <w:rPr/>
            </w:pPr>
            <w:r>
              <w:rPr>
                <w:rFonts w:eastAsia="Calibri" w:cs="Calibri"/>
                <w:sz w:val="18"/>
                <w:szCs w:val="18"/>
              </w:rPr>
              <w:t>Alert Privacy (DPO), Legal and Communications immediately; regulatory clocks may start.</w:t>
            </w:r>
          </w:p>
          <w:p>
            <w:pPr>
              <w:pStyle w:val="ListParagraph"/>
              <w:numPr>
                <w:ilvl w:val="0"/>
                <w:numId w:val="34"/>
              </w:numPr>
              <w:spacing w:before="0" w:after="20"/>
              <w:rPr/>
            </w:pPr>
            <w:r>
              <w:rPr>
                <w:rFonts w:eastAsia="Calibri" w:cs="Calibri"/>
                <w:sz w:val="18"/>
                <w:szCs w:val="18"/>
              </w:rPr>
              <w:t>Preserve evidence: Purview audit log, eDiscovery legal hold.</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6</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Insider threat</w:t>
            </w:r>
            <w:r>
              <w:rPr>
                <w:rFonts w:eastAsia="Calibri" w:cs="Calibri"/>
                <w:sz w:val="18"/>
                <w:szCs w:val="18"/>
              </w:rPr>
              <w:t>: misuse of legitimate access by an employee or contractor.</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35"/>
              </w:numPr>
              <w:spacing w:before="0" w:after="20"/>
              <w:rPr/>
            </w:pPr>
            <w:r>
              <w:rPr>
                <w:rFonts w:eastAsia="Calibri" w:cs="Calibri"/>
                <w:sz w:val="18"/>
                <w:szCs w:val="18"/>
              </w:rPr>
              <w:t>Involve HR and Legal before contacting the individual; avoid tipping them off.</w:t>
            </w:r>
          </w:p>
          <w:p>
            <w:pPr>
              <w:pStyle w:val="ListParagraph"/>
              <w:numPr>
                <w:ilvl w:val="0"/>
                <w:numId w:val="36"/>
              </w:numPr>
              <w:spacing w:before="0" w:after="20"/>
              <w:rPr/>
            </w:pPr>
            <w:r>
              <w:rPr>
                <w:rFonts w:eastAsia="Calibri" w:cs="Calibri"/>
                <w:sz w:val="18"/>
                <w:szCs w:val="18"/>
              </w:rPr>
              <w:t>Use Purview Insider Risk Management and audit data; maintain strict need-to-know.</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7</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Cloud misconfiguration / Azure compromise</w:t>
            </w:r>
            <w:r>
              <w:rPr>
                <w:rFonts w:eastAsia="Calibri" w:cs="Calibri"/>
                <w:sz w:val="18"/>
                <w:szCs w:val="18"/>
              </w:rPr>
              <w:t>: exposed storage, compromised keys or subscriptions.</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37"/>
              </w:numPr>
              <w:spacing w:before="0" w:after="20"/>
              <w:rPr/>
            </w:pPr>
            <w:r>
              <w:rPr>
                <w:rFonts w:eastAsia="Calibri" w:cs="Calibri"/>
                <w:sz w:val="18"/>
                <w:szCs w:val="18"/>
              </w:rPr>
              <w:t>Remove public access; rotate keys and secrets in Azure Key Vault.</w:t>
            </w:r>
          </w:p>
          <w:p>
            <w:pPr>
              <w:pStyle w:val="ListParagraph"/>
              <w:numPr>
                <w:ilvl w:val="0"/>
                <w:numId w:val="38"/>
              </w:numPr>
              <w:spacing w:before="0" w:after="20"/>
              <w:rPr/>
            </w:pPr>
            <w:r>
              <w:rPr>
                <w:rFonts w:eastAsia="Calibri" w:cs="Calibri"/>
                <w:sz w:val="18"/>
                <w:szCs w:val="18"/>
              </w:rPr>
              <w:t>Review Azure Activity Logs and Defender for Cloud alerts.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8</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Denial of service (DoS/DDoS)</w:t>
            </w:r>
            <w:r>
              <w:rPr>
                <w:rFonts w:eastAsia="Calibri" w:cs="Calibri"/>
                <w:sz w:val="18"/>
                <w:szCs w:val="18"/>
              </w:rPr>
              <w:t>: overwhelming systems with traffic.</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39"/>
              </w:numPr>
              <w:spacing w:before="0" w:after="20"/>
              <w:rPr/>
            </w:pPr>
            <w:r>
              <w:rPr>
                <w:rFonts w:eastAsia="Calibri" w:cs="Calibri"/>
                <w:sz w:val="18"/>
                <w:szCs w:val="18"/>
              </w:rPr>
              <w:t>Engage Azure DDoS Protection and network provider; apply filtering and scale capacity.</w:t>
            </w:r>
          </w:p>
        </w:tc>
      </w:tr>
      <w:tr>
        <w:trPr>
          <w:trHeight w:val="1210" w:hRule="atLeast"/>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9</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Third-party / supply-chain incident</w:t>
            </w:r>
            <w:r>
              <w:rPr>
                <w:rFonts w:eastAsia="Calibri" w:cs="Calibri"/>
                <w:sz w:val="18"/>
                <w:szCs w:val="18"/>
              </w:rPr>
              <w:t>: a supplier or partner holding Oscorp's data is breached.</w:t>
            </w:r>
          </w:p>
        </w:tc>
        <w:tc>
          <w:tcPr>
            <w:tcW w:w="5862" w:type="dxa"/>
            <w:tcBorders>
              <w:top w:val="single" w:sz="4" w:space="0" w:color="8EA9C8"/>
              <w:left w:val="single" w:sz="4" w:space="0" w:color="8EA9C8"/>
              <w:bottom w:val="single" w:sz="4" w:space="0" w:color="8EA9C8"/>
              <w:right w:val="single" w:sz="4" w:space="0" w:color="8EA9C8"/>
            </w:tcBorders>
          </w:tcPr>
          <w:p>
            <w:pPr>
              <w:pStyle w:val="ListParagraph"/>
              <w:numPr>
                <w:ilvl w:val="0"/>
                <w:numId w:val="40"/>
              </w:numPr>
              <w:spacing w:before="0" w:after="20"/>
              <w:rPr/>
            </w:pPr>
            <w:r>
              <w:rPr>
                <w:rFonts w:eastAsia="Calibri" w:cs="Calibri"/>
                <w:sz w:val="18"/>
                <w:szCs w:val="18"/>
              </w:rPr>
              <w:t xml:space="preserve">Obtain facts from the supplier under contract terms; restrict their access to </w:t>
            </w:r>
            <w:r>
              <w:rPr>
                <w:rFonts w:eastAsia="Calibri" w:cs="Calibri"/>
                <w:sz w:val="18"/>
                <w:szCs w:val="18"/>
              </w:rPr>
              <w:t>SanDwane</w:t>
            </w:r>
            <w:r>
              <w:rPr>
                <w:rFonts w:eastAsia="Calibri" w:cs="Calibri"/>
                <w:sz w:val="18"/>
                <w:szCs w:val="18"/>
              </w:rPr>
              <w:t xml:space="preserve">'s systems; assess </w:t>
            </w:r>
            <w:r>
              <w:rPr>
                <w:rFonts w:eastAsia="Calibri" w:cs="Calibri"/>
                <w:sz w:val="18"/>
                <w:szCs w:val="18"/>
              </w:rPr>
              <w:t>SanDwane</w:t>
            </w:r>
            <w:r>
              <w:rPr>
                <w:rFonts w:eastAsia="Calibri" w:cs="Calibri"/>
                <w:sz w:val="18"/>
                <w:szCs w:val="18"/>
              </w:rPr>
              <w:t>'s data exposure and notification duties.</w:t>
            </w:r>
          </w:p>
        </w:tc>
      </w:tr>
    </w:tbl>
    <w:p>
      <w:pPr>
        <w:pStyle w:val="Heading2"/>
        <w:rPr/>
      </w:pPr>
      <w:r>
        <w:rPr/>
        <w:t>3.1 Potential Threat Vectors</w:t>
      </w:r>
    </w:p>
    <w:tbl>
      <w:tblPr>
        <w:tblW w:w="9360" w:type="dxa"/>
        <w:jc w:val="left"/>
        <w:tblInd w:w="0" w:type="dxa"/>
        <w:tblLayout w:type="fixed"/>
        <w:tblCellMar>
          <w:top w:w="60" w:type="dxa"/>
          <w:left w:w="100" w:type="dxa"/>
          <w:bottom w:w="60" w:type="dxa"/>
          <w:right w:w="100" w:type="dxa"/>
        </w:tblCellMar>
      </w:tblPr>
      <w:tblGrid>
        <w:gridCol w:w="498"/>
        <w:gridCol w:w="2300"/>
        <w:gridCol w:w="6562"/>
      </w:tblGrid>
      <w:tr>
        <w:trPr>
          <w:tblHeader w:val="true"/>
        </w:trPr>
        <w:tc>
          <w:tcPr>
            <w:tcW w:w="4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w:t>
            </w:r>
          </w:p>
        </w:tc>
        <w:tc>
          <w:tcPr>
            <w:tcW w:w="23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Vector</w:t>
            </w:r>
          </w:p>
        </w:tc>
        <w:tc>
          <w:tcPr>
            <w:tcW w:w="65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Description</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Email</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Phishing and malicious attachments targeting staff, especially R&amp;D, finance and executives.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2</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Identity</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Stolen credentials, MFA fatigue attacks, token theft and malicious OAuth app consent in Entra ID.</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3</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Cloud configuration</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Over-shared SharePoint sites, anonymous links, public Azure storage or exposed keys.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4</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Web</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Malicious websites and downloads delivering malware.</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5</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External / removable media</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USB devices introducing malware or used to remove data.</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6</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Third parties</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Suppliers, CROs and partners with access to systems or data.</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7</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Impersonation</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Look-alike domains used to defraud partners or staff.</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8</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Improper usage / insider</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Human error or deliberate misuse by an insider, including leaks to external parties.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9</w:t>
            </w:r>
          </w:p>
        </w:tc>
        <w:tc>
          <w:tcPr>
            <w:tcW w:w="23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Attrition</w:t>
            </w:r>
          </w:p>
        </w:tc>
        <w:tc>
          <w:tcPr>
            <w:tcW w:w="6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DDoS attacks against internet-facing services.</w:t>
            </w:r>
          </w:p>
        </w:tc>
      </w:tr>
    </w:tbl>
    <w:p>
      <w:pPr>
        <w:pStyle w:val="Heading1"/>
        <w:rPr/>
      </w:pPr>
      <w:r>
        <w:rPr/>
        <w:t>4. Roles and Responsibilities</w:t>
      </w:r>
    </w:p>
    <w:p>
      <w:pPr>
        <w:pStyle w:val="Normal"/>
        <w:spacing w:before="0" w:after="120"/>
        <w:rPr/>
      </w:pPr>
      <w:r>
        <w:rPr>
          <w:rFonts w:eastAsia="Calibri" w:cs="Calibri"/>
          <w:sz w:val="21"/>
          <w:szCs w:val="21"/>
        </w:rPr>
        <w:t>Carmerek's uses a three-tier structure so that technical work, operational coordination and executive decisions each sit with the right people.</w:t>
      </w:r>
    </w:p>
    <w:tbl>
      <w:tblPr>
        <w:tblW w:w="9360" w:type="dxa"/>
        <w:jc w:val="left"/>
        <w:tblInd w:w="0" w:type="dxa"/>
        <w:tblLayout w:type="fixed"/>
        <w:tblCellMar>
          <w:top w:w="60" w:type="dxa"/>
          <w:left w:w="100" w:type="dxa"/>
          <w:bottom w:w="60" w:type="dxa"/>
          <w:right w:w="100" w:type="dxa"/>
        </w:tblCellMar>
      </w:tblPr>
      <w:tblGrid>
        <w:gridCol w:w="1400"/>
        <w:gridCol w:w="2600"/>
        <w:gridCol w:w="3160"/>
        <w:gridCol w:w="2199"/>
      </w:tblGrid>
      <w:tr>
        <w:trPr>
          <w:tblHeader w:val="true"/>
        </w:trPr>
        <w:tc>
          <w:tcPr>
            <w:tcW w:w="14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Tier</w:t>
            </w:r>
          </w:p>
        </w:tc>
        <w:tc>
          <w:tcPr>
            <w:tcW w:w="26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Team</w:t>
            </w:r>
          </w:p>
        </w:tc>
        <w:tc>
          <w:tcPr>
            <w:tcW w:w="31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Focus</w:t>
            </w:r>
          </w:p>
        </w:tc>
        <w:tc>
          <w:tcPr>
            <w:tcW w:w="21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Activated for</w:t>
            </w:r>
          </w:p>
        </w:tc>
      </w:tr>
      <w:tr>
        <w:trPr/>
        <w:tc>
          <w:tcPr>
            <w:tcW w:w="14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Strategic</w:t>
            </w:r>
          </w:p>
        </w:tc>
        <w:tc>
          <w:tcPr>
            <w:tcW w:w="2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Senior Executive Management Team (SEMT)</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Business decisions, regulators, Board, media, investors, staff welfare, funding</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Category 1 (always); Category 2 (on Incident Manager recommendation)</w:t>
            </w:r>
          </w:p>
        </w:tc>
      </w:tr>
      <w:tr>
        <w:trPr/>
        <w:tc>
          <w:tcPr>
            <w:tcW w:w="14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Operational</w:t>
            </w:r>
          </w:p>
        </w:tc>
        <w:tc>
          <w:tcPr>
            <w:tcW w:w="2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Management Team (IMT)</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Coordinating the response, resolution action plan, situation reporting</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Category 2 and above; Category 3 at Incident Manager discretion</w:t>
            </w:r>
          </w:p>
        </w:tc>
      </w:tr>
      <w:tr>
        <w:trPr/>
        <w:tc>
          <w:tcPr>
            <w:tcW w:w="14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Technical</w:t>
            </w:r>
          </w:p>
        </w:tc>
        <w:tc>
          <w:tcPr>
            <w:tcW w:w="2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 / IT responders</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Detection, analysis, containment, eradication, recovery</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All categories</w:t>
            </w:r>
          </w:p>
        </w:tc>
      </w:tr>
    </w:tbl>
    <w:p>
      <w:pPr>
        <w:pStyle w:val="Normal"/>
        <w:spacing w:before="0" w:after="80"/>
        <w:rPr/>
      </w:pPr>
      <w:r>
        <w:rPr/>
      </w:r>
    </w:p>
    <w:p>
      <w:pPr>
        <w:pStyle w:val="Heading2"/>
        <w:rPr/>
      </w:pPr>
      <w:r>
        <w:rPr/>
        <w:t>4.1 Incident Management Team (IMT)</w:t>
      </w:r>
    </w:p>
    <w:p>
      <w:pPr>
        <w:pStyle w:val="Normal"/>
        <w:spacing w:before="0" w:after="120"/>
        <w:rPr/>
      </w:pPr>
      <w:r>
        <w:rPr>
          <w:rFonts w:eastAsia="Calibri" w:cs="Calibri"/>
          <w:sz w:val="21"/>
          <w:szCs w:val="21"/>
        </w:rPr>
        <w:t>The IMT manages the response to cyber incidents. Names and contact details are maintained in Appendix F. Every role has a named primary and backup.</w:t>
      </w:r>
    </w:p>
    <w:tbl>
      <w:tblPr>
        <w:tblW w:w="9360" w:type="dxa"/>
        <w:jc w:val="left"/>
        <w:tblInd w:w="0" w:type="dxa"/>
        <w:tblLayout w:type="fixed"/>
        <w:tblCellMar>
          <w:top w:w="60" w:type="dxa"/>
          <w:left w:w="100" w:type="dxa"/>
          <w:bottom w:w="60" w:type="dxa"/>
          <w:right w:w="100" w:type="dxa"/>
        </w:tblCellMar>
      </w:tblPr>
      <w:tblGrid>
        <w:gridCol w:w="2998"/>
        <w:gridCol w:w="2002"/>
        <w:gridCol w:w="4360"/>
      </w:tblGrid>
      <w:tr>
        <w:trPr>
          <w:tblHeader w:val="true"/>
        </w:trPr>
        <w:tc>
          <w:tcPr>
            <w:tcW w:w="29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Title</w:t>
            </w:r>
          </w:p>
        </w:tc>
        <w:tc>
          <w:tcPr>
            <w:tcW w:w="20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IMT role</w:t>
            </w:r>
          </w:p>
        </w:tc>
        <w:tc>
          <w:tcPr>
            <w:tcW w:w="43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Key responsibilities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Head of Security Operations (primary) / CISO (backup)</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Incident Manager</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41"/>
              </w:numPr>
              <w:spacing w:before="0" w:after="20"/>
              <w:rPr/>
            </w:pPr>
            <w:r>
              <w:rPr>
                <w:rFonts w:eastAsia="Calibri" w:cs="Calibri"/>
                <w:sz w:val="18"/>
                <w:szCs w:val="18"/>
              </w:rPr>
              <w:t>Leads the IMT; owns the resolution action plan</w:t>
            </w:r>
          </w:p>
          <w:p>
            <w:pPr>
              <w:pStyle w:val="ListParagraph"/>
              <w:numPr>
                <w:ilvl w:val="0"/>
                <w:numId w:val="42"/>
              </w:numPr>
              <w:spacing w:before="0" w:after="20"/>
              <w:rPr/>
            </w:pPr>
            <w:r>
              <w:rPr>
                <w:rFonts w:eastAsia="Calibri" w:cs="Calibri"/>
                <w:sz w:val="18"/>
                <w:szCs w:val="18"/>
              </w:rPr>
              <w:t>Classifies and escalates the incident</w:t>
            </w:r>
          </w:p>
          <w:p>
            <w:pPr>
              <w:pStyle w:val="ListParagraph"/>
              <w:numPr>
                <w:ilvl w:val="0"/>
                <w:numId w:val="43"/>
              </w:numPr>
              <w:spacing w:before="0" w:after="20"/>
              <w:rPr/>
            </w:pPr>
            <w:r>
              <w:rPr>
                <w:rFonts w:eastAsia="Calibri" w:cs="Calibri"/>
                <w:sz w:val="18"/>
                <w:szCs w:val="18"/>
              </w:rPr>
              <w:t>Single point of contact to the SEMT</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 Lead, Microsoft 365 / Azure administrators, network engineers</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Technical response</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44"/>
              </w:numPr>
              <w:spacing w:before="0" w:after="20"/>
              <w:rPr/>
            </w:pPr>
            <w:r>
              <w:rPr>
                <w:rFonts w:eastAsia="Calibri" w:cs="Calibri"/>
                <w:sz w:val="18"/>
                <w:szCs w:val="18"/>
              </w:rPr>
              <w:t>Investigation and analysis (Defender XDR, Sentinel, Purview)</w:t>
            </w:r>
          </w:p>
          <w:p>
            <w:pPr>
              <w:pStyle w:val="ListParagraph"/>
              <w:numPr>
                <w:ilvl w:val="0"/>
                <w:numId w:val="45"/>
              </w:numPr>
              <w:spacing w:before="0" w:after="20"/>
              <w:rPr/>
            </w:pPr>
            <w:r>
              <w:rPr>
                <w:rFonts w:eastAsia="Calibri" w:cs="Calibri"/>
                <w:sz w:val="18"/>
                <w:szCs w:val="18"/>
              </w:rPr>
              <w:t>Containment, eradication and recovery</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Information Security Manager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Intelligence and evidence</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46"/>
              </w:numPr>
              <w:spacing w:before="0" w:after="20"/>
              <w:rPr/>
            </w:pPr>
            <w:r>
              <w:rPr>
                <w:rFonts w:eastAsia="Calibri" w:cs="Calibri"/>
                <w:sz w:val="18"/>
                <w:szCs w:val="18"/>
              </w:rPr>
              <w:t>Threat intelligence and IOCs</w:t>
            </w:r>
          </w:p>
          <w:p>
            <w:pPr>
              <w:pStyle w:val="ListParagraph"/>
              <w:numPr>
                <w:ilvl w:val="0"/>
                <w:numId w:val="47"/>
              </w:numPr>
              <w:spacing w:before="0" w:after="20"/>
              <w:rPr/>
            </w:pPr>
            <w:r>
              <w:rPr>
                <w:rFonts w:eastAsia="Calibri" w:cs="Calibri"/>
                <w:sz w:val="18"/>
                <w:szCs w:val="18"/>
              </w:rPr>
              <w:t>Evidence register and chain of custody (Appendix D)</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Data Protection Officer (DPO) / Privacy Lead</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Privacy</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48"/>
              </w:numPr>
              <w:spacing w:before="0" w:after="20"/>
              <w:rPr/>
            </w:pPr>
            <w:r>
              <w:rPr>
                <w:rFonts w:eastAsia="Calibri" w:cs="Calibri"/>
                <w:sz w:val="18"/>
                <w:szCs w:val="18"/>
              </w:rPr>
              <w:t>Assesses personal data impact</w:t>
            </w:r>
          </w:p>
          <w:p>
            <w:pPr>
              <w:pStyle w:val="ListParagraph"/>
              <w:numPr>
                <w:ilvl w:val="0"/>
                <w:numId w:val="49"/>
              </w:numPr>
              <w:spacing w:before="0" w:after="20"/>
              <w:rPr/>
            </w:pPr>
            <w:r>
              <w:rPr>
                <w:rFonts w:eastAsia="Calibri" w:cs="Calibri"/>
                <w:sz w:val="18"/>
                <w:szCs w:val="18"/>
              </w:rPr>
              <w:t>Prepares regulatory breach notifications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Legal Counsel*</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Legal</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0"/>
              </w:numPr>
              <w:spacing w:before="0" w:after="20"/>
              <w:rPr/>
            </w:pPr>
            <w:r>
              <w:rPr>
                <w:rFonts w:eastAsia="Calibri" w:cs="Calibri"/>
                <w:sz w:val="18"/>
                <w:szCs w:val="18"/>
              </w:rPr>
              <w:t>Legal privilege, contracts, law enforcement liaison, cyber insurance</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Quality Assurance / Regulatory Affairs*</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Product and patient safety</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1"/>
              </w:numPr>
              <w:spacing w:before="0" w:after="20"/>
              <w:rPr/>
            </w:pPr>
            <w:r>
              <w:rPr>
                <w:rFonts w:eastAsia="Calibri" w:cs="Calibri"/>
                <w:sz w:val="18"/>
                <w:szCs w:val="18"/>
              </w:rPr>
              <w:t>Assesses impact on GxP systems, product quality, clinical trials and pharmacovigilance</w:t>
            </w:r>
          </w:p>
          <w:p>
            <w:pPr>
              <w:pStyle w:val="ListParagraph"/>
              <w:numPr>
                <w:ilvl w:val="0"/>
                <w:numId w:val="52"/>
              </w:numPr>
              <w:spacing w:before="0" w:after="20"/>
              <w:rPr/>
            </w:pPr>
            <w:r>
              <w:rPr>
                <w:rFonts w:eastAsia="Calibri" w:cs="Calibri"/>
                <w:sz w:val="18"/>
                <w:szCs w:val="18"/>
              </w:rPr>
              <w:t>Liaises with health regulators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Corporate Communications*</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Communications</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3"/>
              </w:numPr>
              <w:spacing w:before="0" w:after="20"/>
              <w:rPr/>
            </w:pPr>
            <w:r>
              <w:rPr>
                <w:rFonts w:eastAsia="Calibri" w:cs="Calibri"/>
                <w:sz w:val="18"/>
                <w:szCs w:val="18"/>
              </w:rPr>
              <w:t>Drafts internal and external messages</w:t>
            </w:r>
          </w:p>
          <w:p>
            <w:pPr>
              <w:pStyle w:val="ListParagraph"/>
              <w:numPr>
                <w:ilvl w:val="0"/>
                <w:numId w:val="54"/>
              </w:numPr>
              <w:spacing w:before="0" w:after="20"/>
              <w:rPr/>
            </w:pPr>
            <w:r>
              <w:rPr>
                <w:rFonts w:eastAsia="Calibri" w:cs="Calibri"/>
                <w:sz w:val="18"/>
                <w:szCs w:val="18"/>
              </w:rPr>
              <w:t>Media monitoring</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HR Business Partner*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People</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5"/>
              </w:numPr>
              <w:spacing w:before="0" w:after="20"/>
              <w:rPr/>
            </w:pPr>
            <w:r>
              <w:rPr>
                <w:rFonts w:eastAsia="Calibri" w:cs="Calibri"/>
                <w:sz w:val="18"/>
                <w:szCs w:val="18"/>
              </w:rPr>
              <w:t>Insider cases, staff guidance, welfare</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Business Continuity Manager*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Continuity</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6"/>
              </w:numPr>
              <w:spacing w:before="0" w:after="20"/>
              <w:rPr/>
            </w:pPr>
            <w:r>
              <w:rPr>
                <w:rFonts w:eastAsia="Calibri" w:cs="Calibri"/>
                <w:sz w:val="18"/>
                <w:szCs w:val="18"/>
              </w:rPr>
              <w:t>Activates business continuity plans and workarounds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Procurement / Vendor Manager*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Third parties</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7"/>
              </w:numPr>
              <w:spacing w:before="0" w:after="20"/>
              <w:rPr/>
            </w:pPr>
            <w:r>
              <w:rPr>
                <w:rFonts w:eastAsia="Calibri" w:cs="Calibri"/>
                <w:sz w:val="18"/>
                <w:szCs w:val="18"/>
              </w:rPr>
              <w:t>Engages suppliers, CROs and incident response retainer</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Coordinator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Administration and record keeping</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8"/>
              </w:numPr>
              <w:spacing w:before="0" w:after="20"/>
              <w:rPr/>
            </w:pPr>
            <w:r>
              <w:rPr>
                <w:rFonts w:eastAsia="Calibri" w:cs="Calibri"/>
                <w:sz w:val="18"/>
                <w:szCs w:val="18"/>
              </w:rPr>
              <w:t>Incident log (Appendix B), situation updates (Appendix A), meeting scheduling</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External: Microsoft Incident Response / retained DFIR provider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Specialist support</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59"/>
              </w:numPr>
              <w:spacing w:before="0" w:after="20"/>
              <w:rPr/>
            </w:pPr>
            <w:r>
              <w:rPr>
                <w:rFonts w:eastAsia="Calibri" w:cs="Calibri"/>
                <w:sz w:val="18"/>
                <w:szCs w:val="18"/>
              </w:rPr>
              <w:t>Forensic investigation and surge capacity under retainer</w:t>
            </w:r>
          </w:p>
        </w:tc>
      </w:tr>
    </w:tbl>
    <w:p>
      <w:pPr>
        <w:pStyle w:val="Normal"/>
        <w:spacing w:before="0" w:after="120"/>
        <w:rPr/>
      </w:pPr>
      <w:r>
        <w:rPr>
          <w:rFonts w:eastAsia="Calibri" w:cs="Calibri"/>
          <w:i/>
          <w:iCs/>
          <w:sz w:val="18"/>
          <w:szCs w:val="18"/>
        </w:rPr>
        <w:t>* Optional role, activated depending on the nature of the incident.</w:t>
      </w:r>
    </w:p>
    <w:p>
      <w:pPr>
        <w:pStyle w:val="Heading2"/>
        <w:rPr/>
      </w:pPr>
      <w:r>
        <w:rPr/>
        <w:t>4.2 Senior Executive Management Team (SEMT)</w:t>
      </w:r>
    </w:p>
    <w:p>
      <w:pPr>
        <w:pStyle w:val="Normal"/>
        <w:spacing w:before="0" w:after="120"/>
        <w:rPr/>
      </w:pPr>
      <w:r>
        <w:rPr>
          <w:rFonts w:eastAsia="Calibri" w:cs="Calibri"/>
          <w:sz w:val="21"/>
          <w:szCs w:val="21"/>
        </w:rPr>
        <w:t xml:space="preserve">The SEMT forms for every Category 1 incident and for Category 2 incidents at the request of the Incident Manager, CISO or CEO. It provides strategic oversight, direction and support to the IMT. It does </w:t>
      </w:r>
      <w:r>
        <w:rPr>
          <w:rFonts w:eastAsia="Calibri" w:cs="Calibri"/>
          <w:b/>
          <w:bCs/>
          <w:sz w:val="21"/>
          <w:szCs w:val="21"/>
        </w:rPr>
        <w:t>not</w:t>
      </w:r>
      <w:r>
        <w:rPr>
          <w:rFonts w:eastAsia="Calibri" w:cs="Calibri"/>
          <w:sz w:val="21"/>
          <w:szCs w:val="21"/>
        </w:rPr>
        <w:t xml:space="preserve"> perform technical work.</w:t>
      </w:r>
    </w:p>
    <w:tbl>
      <w:tblPr>
        <w:tblW w:w="9360" w:type="dxa"/>
        <w:jc w:val="left"/>
        <w:tblInd w:w="0" w:type="dxa"/>
        <w:tblLayout w:type="fixed"/>
        <w:tblCellMar>
          <w:top w:w="60" w:type="dxa"/>
          <w:left w:w="100" w:type="dxa"/>
          <w:bottom w:w="60" w:type="dxa"/>
          <w:right w:w="100" w:type="dxa"/>
        </w:tblCellMar>
      </w:tblPr>
      <w:tblGrid>
        <w:gridCol w:w="2998"/>
        <w:gridCol w:w="2002"/>
        <w:gridCol w:w="4360"/>
      </w:tblGrid>
      <w:tr>
        <w:trPr>
          <w:tblHeader w:val="true"/>
        </w:trPr>
        <w:tc>
          <w:tcPr>
            <w:tcW w:w="29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Title</w:t>
            </w:r>
          </w:p>
        </w:tc>
        <w:tc>
          <w:tcPr>
            <w:tcW w:w="20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SEMT role</w:t>
            </w:r>
          </w:p>
        </w:tc>
        <w:tc>
          <w:tcPr>
            <w:tcW w:w="43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Responsibilities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Executive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 Chair</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0"/>
              </w:numPr>
              <w:spacing w:before="0" w:after="20"/>
              <w:rPr/>
            </w:pPr>
            <w:r>
              <w:rPr>
                <w:rFonts w:eastAsia="Calibri" w:cs="Calibri"/>
                <w:sz w:val="18"/>
                <w:szCs w:val="18"/>
              </w:rPr>
              <w:t>Final decision authority</w:t>
            </w:r>
          </w:p>
          <w:p>
            <w:pPr>
              <w:pStyle w:val="ListParagraph"/>
              <w:numPr>
                <w:ilvl w:val="0"/>
                <w:numId w:val="61"/>
              </w:numPr>
              <w:spacing w:before="0" w:after="20"/>
              <w:rPr/>
            </w:pPr>
            <w:r>
              <w:rPr>
                <w:rFonts w:eastAsia="Calibri" w:cs="Calibri"/>
                <w:sz w:val="18"/>
                <w:szCs w:val="18"/>
              </w:rPr>
              <w:t>Approves external statements</w:t>
            </w:r>
          </w:p>
          <w:p>
            <w:pPr>
              <w:pStyle w:val="ListParagraph"/>
              <w:numPr>
                <w:ilvl w:val="0"/>
                <w:numId w:val="62"/>
              </w:numPr>
              <w:spacing w:before="0" w:after="20"/>
              <w:rPr/>
            </w:pPr>
            <w:r>
              <w:rPr>
                <w:rFonts w:eastAsia="Calibri" w:cs="Calibri"/>
                <w:sz w:val="18"/>
                <w:szCs w:val="18"/>
              </w:rPr>
              <w:t>Briefs the Board</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Information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Deputy Chair</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3"/>
              </w:numPr>
              <w:spacing w:before="0" w:after="20"/>
              <w:rPr/>
            </w:pPr>
            <w:r>
              <w:rPr>
                <w:rFonts w:eastAsia="Calibri" w:cs="Calibri"/>
                <w:sz w:val="18"/>
                <w:szCs w:val="18"/>
              </w:rPr>
              <w:t>Chairs in CEO absence; technology recovery priorities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Information Security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lead / IMT link</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4"/>
              </w:numPr>
              <w:spacing w:before="0" w:after="20"/>
              <w:rPr/>
            </w:pPr>
            <w:r>
              <w:rPr>
                <w:rFonts w:eastAsia="Calibri" w:cs="Calibri"/>
                <w:sz w:val="18"/>
                <w:szCs w:val="18"/>
              </w:rPr>
              <w:t>Briefs the SEMT on incident status and options</w:t>
            </w:r>
          </w:p>
          <w:p>
            <w:pPr>
              <w:pStyle w:val="ListParagraph"/>
              <w:numPr>
                <w:ilvl w:val="0"/>
                <w:numId w:val="65"/>
              </w:numPr>
              <w:spacing w:before="0" w:after="20"/>
              <w:rPr/>
            </w:pPr>
            <w:r>
              <w:rPr>
                <w:rFonts w:eastAsia="Calibri" w:cs="Calibri"/>
                <w:sz w:val="18"/>
                <w:szCs w:val="18"/>
              </w:rPr>
              <w:t>Presents decisions required</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General Counsel</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Legal and regulatory</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6"/>
              </w:numPr>
              <w:spacing w:before="0" w:after="20"/>
              <w:rPr/>
            </w:pPr>
            <w:r>
              <w:rPr>
                <w:rFonts w:eastAsia="Calibri" w:cs="Calibri"/>
                <w:sz w:val="18"/>
                <w:szCs w:val="18"/>
              </w:rPr>
              <w:t>Regulatory notifications, law enforcement, privilege, cyber insurance</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Financial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Finance</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7"/>
              </w:numPr>
              <w:spacing w:before="0" w:after="20"/>
              <w:rPr/>
            </w:pPr>
            <w:r>
              <w:rPr>
                <w:rFonts w:eastAsia="Calibri" w:cs="Calibri"/>
                <w:sz w:val="18"/>
                <w:szCs w:val="18"/>
              </w:rPr>
              <w:t>Emergency expenditure; investor and market disclosure assessment</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Medical Officer / Head of Quality</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Patient safety and quality</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8"/>
              </w:numPr>
              <w:spacing w:before="0" w:after="20"/>
              <w:rPr/>
            </w:pPr>
            <w:r>
              <w:rPr>
                <w:rFonts w:eastAsia="Calibri" w:cs="Calibri"/>
                <w:sz w:val="18"/>
                <w:szCs w:val="18"/>
              </w:rPr>
              <w:t>Decisions affecting product release, clinical trials and patient safety</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Operating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Operations</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69"/>
              </w:numPr>
              <w:spacing w:before="0" w:after="20"/>
              <w:rPr/>
            </w:pPr>
            <w:r>
              <w:rPr>
                <w:rFonts w:eastAsia="Calibri" w:cs="Calibri"/>
                <w:sz w:val="18"/>
                <w:szCs w:val="18"/>
              </w:rPr>
              <w:t>Manufacturing, supply chain and business continuity decisions</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Head of Corporate Communications</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Communications</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70"/>
              </w:numPr>
              <w:spacing w:before="0" w:after="20"/>
              <w:rPr/>
            </w:pPr>
            <w:r>
              <w:rPr>
                <w:rFonts w:eastAsia="Calibri" w:cs="Calibri"/>
                <w:sz w:val="18"/>
                <w:szCs w:val="18"/>
              </w:rPr>
              <w:t>Media, public, partner and investor messaging</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People Officer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People and culture</w:t>
            </w:r>
          </w:p>
        </w:tc>
        <w:tc>
          <w:tcPr>
            <w:tcW w:w="4360" w:type="dxa"/>
            <w:tcBorders>
              <w:top w:val="single" w:sz="4" w:space="0" w:color="8EA9C8"/>
              <w:left w:val="single" w:sz="4" w:space="0" w:color="8EA9C8"/>
              <w:bottom w:val="single" w:sz="4" w:space="0" w:color="8EA9C8"/>
              <w:right w:val="single" w:sz="4" w:space="0" w:color="8EA9C8"/>
            </w:tcBorders>
          </w:tcPr>
          <w:p>
            <w:pPr>
              <w:pStyle w:val="ListParagraph"/>
              <w:numPr>
                <w:ilvl w:val="0"/>
                <w:numId w:val="71"/>
              </w:numPr>
              <w:spacing w:before="0" w:after="20"/>
              <w:rPr/>
            </w:pPr>
            <w:r>
              <w:rPr>
                <w:rFonts w:eastAsia="Calibri" w:cs="Calibri"/>
                <w:sz w:val="18"/>
                <w:szCs w:val="18"/>
              </w:rPr>
              <w:t>Staff communications and welfare</w:t>
            </w:r>
          </w:p>
        </w:tc>
      </w:tr>
    </w:tbl>
    <w:p>
      <w:pPr>
        <w:pStyle w:val="Normal"/>
        <w:spacing w:before="0" w:after="120"/>
        <w:rPr/>
      </w:pPr>
      <w:r>
        <w:rPr>
          <w:rFonts w:eastAsia="Calibri" w:cs="Calibri"/>
          <w:sz w:val="21"/>
          <w:szCs w:val="21"/>
        </w:rPr>
        <w:t>If the SEMT cannot form, the CEO (or designated deputy in the order: CIO, COO, CFO) holds delegated authority to make critical decisions.</w:t>
      </w:r>
    </w:p>
    <w:p>
      <w:pPr>
        <w:pStyle w:val="Heading2"/>
        <w:rPr/>
      </w:pPr>
      <w:r>
        <w:rPr/>
        <w:t>4.3 Decision Rights</w:t>
      </w:r>
    </w:p>
    <w:p>
      <w:pPr>
        <w:pStyle w:val="Normal"/>
        <w:spacing w:before="0" w:after="120"/>
        <w:rPr/>
      </w:pPr>
      <w:r>
        <w:rPr>
          <w:rFonts w:eastAsia="Calibri" w:cs="Calibri"/>
          <w:sz w:val="21"/>
          <w:szCs w:val="21"/>
        </w:rPr>
        <w:t>To avoid delay and confusion in a crisis, decision rights are agreed in advance:</w:t>
      </w:r>
    </w:p>
    <w:tbl>
      <w:tblPr>
        <w:tblW w:w="9360" w:type="dxa"/>
        <w:jc w:val="left"/>
        <w:tblInd w:w="0" w:type="dxa"/>
        <w:tblLayout w:type="fixed"/>
        <w:tblCellMar>
          <w:top w:w="60" w:type="dxa"/>
          <w:left w:w="100" w:type="dxa"/>
          <w:bottom w:w="60" w:type="dxa"/>
          <w:right w:w="100" w:type="dxa"/>
        </w:tblCellMar>
      </w:tblPr>
      <w:tblGrid>
        <w:gridCol w:w="3960"/>
        <w:gridCol w:w="1599"/>
        <w:gridCol w:w="1601"/>
        <w:gridCol w:w="2199"/>
      </w:tblGrid>
      <w:tr>
        <w:trPr>
          <w:tblHeader w:val="true"/>
        </w:trPr>
        <w:tc>
          <w:tcPr>
            <w:tcW w:w="39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Decision</w:t>
            </w:r>
          </w:p>
        </w:tc>
        <w:tc>
          <w:tcPr>
            <w:tcW w:w="15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Incident Manager</w:t>
            </w:r>
          </w:p>
        </w:tc>
        <w:tc>
          <w:tcPr>
            <w:tcW w:w="1601"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CISO</w:t>
            </w:r>
          </w:p>
        </w:tc>
        <w:tc>
          <w:tcPr>
            <w:tcW w:w="21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SEMT</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Isolate devices, disable accounts, block indicators</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Decides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Informed</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Informed</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Shut down a business-critical system or the entire M365 tenant / Azure subscription</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Engage external forensic provider under retainer</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Decides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Informed</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Notify regulators, law enforcement or insurer</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r>
              <w:rPr>
                <w:rFonts w:eastAsia="Calibri" w:cs="Calibri"/>
                <w:sz w:val="18"/>
                <w:szCs w:val="18"/>
              </w:rPr>
              <w:t xml:space="preserve"> (General Counsel leads)</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Issue external / media statements</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Contributes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Contributes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r>
              <w:rPr>
                <w:rFonts w:eastAsia="Calibri" w:cs="Calibri"/>
                <w:sz w:val="18"/>
                <w:szCs w:val="18"/>
              </w:rPr>
              <w:t xml:space="preserve"> (CEO approves)</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Ransom or extortion response</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Not authorized</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Advises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r>
              <w:rPr>
                <w:rFonts w:eastAsia="Calibri" w:cs="Calibri"/>
                <w:sz w:val="18"/>
                <w:szCs w:val="18"/>
              </w:rPr>
              <w:t xml:space="preserve"> (with Legal, insurer and law enforcement)</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Halt product release, manufacturing or clinical trial activity</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Informs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r>
              <w:rPr>
                <w:rFonts w:eastAsia="Calibri" w:cs="Calibri"/>
                <w:sz w:val="18"/>
                <w:szCs w:val="18"/>
              </w:rPr>
              <w:t xml:space="preserve"> (CMO / Head of Quality)</w:t>
            </w:r>
          </w:p>
        </w:tc>
      </w:tr>
      <w:tr>
        <w:trPr/>
        <w:tc>
          <w:tcPr>
            <w:tcW w:w="3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Stand down the IMT / SEMT</w:t>
            </w:r>
          </w:p>
        </w:tc>
        <w:tc>
          <w:tcPr>
            <w:tcW w:w="15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16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Recommends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b/>
                <w:bCs/>
                <w:sz w:val="18"/>
                <w:szCs w:val="18"/>
              </w:rPr>
              <w:t>Decides</w:t>
            </w:r>
            <w:r>
              <w:rPr>
                <w:rFonts w:eastAsia="Calibri" w:cs="Calibri"/>
                <w:sz w:val="18"/>
                <w:szCs w:val="18"/>
              </w:rPr>
              <w:t xml:space="preserve"> (Chair)</w:t>
            </w:r>
          </w:p>
        </w:tc>
      </w:tr>
    </w:tbl>
    <w:p>
      <w:pPr>
        <w:pStyle w:val="Heading1"/>
        <w:rPr/>
      </w:pPr>
      <w:r>
        <w:rPr/>
        <w:t>5. Incident Response Process</w:t>
      </w:r>
    </w:p>
    <w:p>
      <w:pPr>
        <w:pStyle w:val="Heading2"/>
        <w:rPr/>
      </w:pPr>
      <w:r>
        <w:rPr/>
        <w:t>5.1 Quick Reference Checklist</w:t>
      </w:r>
    </w:p>
    <w:tbl>
      <w:tblPr>
        <w:tblW w:w="9360" w:type="dxa"/>
        <w:jc w:val="left"/>
        <w:tblInd w:w="0" w:type="dxa"/>
        <w:tblLayout w:type="fixed"/>
        <w:tblCellMar>
          <w:top w:w="60" w:type="dxa"/>
          <w:left w:w="100" w:type="dxa"/>
          <w:bottom w:w="60" w:type="dxa"/>
          <w:right w:w="100" w:type="dxa"/>
        </w:tblCellMar>
      </w:tblPr>
      <w:tblGrid>
        <w:gridCol w:w="498"/>
        <w:gridCol w:w="4562"/>
        <w:gridCol w:w="2100"/>
        <w:gridCol w:w="2199"/>
      </w:tblGrid>
      <w:tr>
        <w:trPr>
          <w:tblHeader w:val="true"/>
        </w:trPr>
        <w:tc>
          <w:tcPr>
            <w:tcW w:w="4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w:t>
            </w:r>
          </w:p>
        </w:tc>
        <w:tc>
          <w:tcPr>
            <w:tcW w:w="45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Activity</w:t>
            </w:r>
          </w:p>
        </w:tc>
        <w:tc>
          <w:tcPr>
            <w:tcW w:w="21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Owner</w:t>
            </w:r>
          </w:p>
        </w:tc>
        <w:tc>
          <w:tcPr>
            <w:tcW w:w="21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Target time</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Analyze whether an incident has occurred or is occurring</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1 hour of detection</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2</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Determine scope, impact and severity; classify the incident (Section 5.4)</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1 hour</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3</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Activate the IMT (and SEMT if required); begin the incident log</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Per escalation matrix (Section 6.1)</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4</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Develop and implement a resolution action plan; preserve evidence</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4 hours of activation</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5</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Identify affected stakeholders</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 SEMT</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4 hours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6</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Execute notifications strategy and communicate key messages</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Communications / Legal</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regulatory deadlines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7</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Confirm eradication; restore and test systems</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Technical response</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agreed RTOs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8</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Stand down IMT/SEMT when authorized; final stakeholder communications</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 Chair / Incident Manager</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On recovery</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9</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Conduct post-incident review; document lessons learned</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10 business days</w:t>
            </w:r>
          </w:p>
        </w:tc>
      </w:tr>
      <w:tr>
        <w:trPr/>
        <w:tc>
          <w:tcPr>
            <w:tcW w:w="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10</w:t>
            </w:r>
          </w:p>
        </w:tc>
        <w:tc>
          <w:tcPr>
            <w:tcW w:w="4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Update this plan and track improvement actions</w:t>
            </w:r>
          </w:p>
        </w:tc>
        <w:tc>
          <w:tcPr>
            <w:tcW w:w="21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30 days</w:t>
            </w:r>
          </w:p>
        </w:tc>
      </w:tr>
    </w:tbl>
    <w:p>
      <w:pPr>
        <w:pStyle w:val="Heading2"/>
        <w:rPr/>
      </w:pPr>
      <w:r>
        <w:rPr/>
        <w:t>5.2 Step 1: Detection and Analysis</w:t>
      </w:r>
    </w:p>
    <w:p>
      <w:pPr>
        <w:pStyle w:val="Heading3"/>
        <w:rPr/>
      </w:pPr>
      <w:r>
        <w:rPr/>
        <w:t>Detection sources</w:t>
      </w:r>
    </w:p>
    <w:tbl>
      <w:tblPr>
        <w:tblW w:w="9360" w:type="dxa"/>
        <w:jc w:val="left"/>
        <w:tblInd w:w="0" w:type="dxa"/>
        <w:tblLayout w:type="fixed"/>
        <w:tblCellMar>
          <w:top w:w="60" w:type="dxa"/>
          <w:left w:w="100" w:type="dxa"/>
          <w:bottom w:w="60" w:type="dxa"/>
          <w:right w:w="100" w:type="dxa"/>
        </w:tblCellMar>
      </w:tblPr>
      <w:tblGrid>
        <w:gridCol w:w="2398"/>
        <w:gridCol w:w="6961"/>
      </w:tblGrid>
      <w:tr>
        <w:trPr>
          <w:tblHeader w:val="true"/>
        </w:trPr>
        <w:tc>
          <w:tcPr>
            <w:tcW w:w="23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Source</w:t>
            </w:r>
          </w:p>
        </w:tc>
        <w:tc>
          <w:tcPr>
            <w:tcW w:w="6961"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SanDwane</w:t>
            </w:r>
            <w:r>
              <w:rPr>
                <w:rFonts w:eastAsia="Calibri" w:cs="Calibri"/>
                <w:b/>
                <w:bCs/>
                <w:sz w:val="18"/>
                <w:szCs w:val="18"/>
              </w:rPr>
              <w:t>'s examples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tooling</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Microsoft Defender XDR (endpoint, identity, Office 365, cloud apps) alerts; Microsoft Sentinel analytics; Purview DLP and Insider Risk alerts; Defender for Cloud (Azure) alerts.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People</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Staff reporting suspicious emails via the "Report phishing" button or the Service Desk; partners reporting spam from </w:t>
            </w:r>
            <w:r>
              <w:rPr>
                <w:rFonts w:eastAsia="Calibri" w:cs="Calibri"/>
                <w:sz w:val="18"/>
                <w:szCs w:val="18"/>
              </w:rPr>
              <w:t>SanDwane</w:t>
            </w:r>
            <w:r>
              <w:rPr>
                <w:rFonts w:eastAsia="Calibri" w:cs="Calibri"/>
                <w:sz w:val="18"/>
                <w:szCs w:val="18"/>
              </w:rPr>
              <w:t>'s domains; security researchers.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Systems not functioning as expected</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SharePoint or Teams unavailable, files renamed or encrypted, unexplained Azure resource changes.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Unusual activity</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Impossible-travel sign-ins, mass file downloads from SharePoint, new inbox forwarding rules, privileged role changes in Entra ID, large outbound data transfers.</w:t>
            </w:r>
          </w:p>
        </w:tc>
      </w:tr>
      <w:tr>
        <w:trPr/>
        <w:tc>
          <w:tcPr>
            <w:tcW w:w="23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External sources</w:t>
            </w:r>
          </w:p>
        </w:tc>
        <w:tc>
          <w:tcPr>
            <w:tcW w:w="69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Microsoft notifications, threat intelligence, law enforcement, regulators or media inquiries.</w:t>
            </w:r>
          </w:p>
        </w:tc>
      </w:tr>
    </w:tbl>
    <w:p>
      <w:pPr>
        <w:pStyle w:val="Heading3"/>
        <w:rPr/>
      </w:pPr>
      <w:r>
        <w:rPr/>
        <w:t>Analysis</w:t>
      </w:r>
    </w:p>
    <w:p>
      <w:pPr>
        <w:pStyle w:val="ListParagraph"/>
        <w:numPr>
          <w:ilvl w:val="0"/>
          <w:numId w:val="72"/>
        </w:numPr>
        <w:spacing w:before="0" w:after="60"/>
        <w:rPr/>
      </w:pPr>
      <w:r>
        <w:rPr>
          <w:rFonts w:eastAsia="Calibri" w:cs="Calibri"/>
          <w:sz w:val="21"/>
          <w:szCs w:val="21"/>
        </w:rPr>
        <w:t>Confirm whether the activity is malicious, or has a legitimate explanation (consult system owners).</w:t>
      </w:r>
    </w:p>
    <w:p>
      <w:pPr>
        <w:pStyle w:val="ListParagraph"/>
        <w:numPr>
          <w:ilvl w:val="0"/>
          <w:numId w:val="73"/>
        </w:numPr>
        <w:spacing w:before="0" w:after="60"/>
        <w:rPr/>
      </w:pPr>
      <w:r>
        <w:rPr>
          <w:rFonts w:eastAsia="Calibri" w:cs="Calibri"/>
          <w:sz w:val="21"/>
          <w:szCs w:val="21"/>
        </w:rPr>
        <w:t>Review logs in Sentinel, the Defender portal, Purview Audit and Azure Activity Logs.</w:t>
      </w:r>
    </w:p>
    <w:p>
      <w:pPr>
        <w:pStyle w:val="ListParagraph"/>
        <w:numPr>
          <w:ilvl w:val="0"/>
          <w:numId w:val="74"/>
        </w:numPr>
        <w:spacing w:before="0" w:after="60"/>
        <w:rPr/>
      </w:pPr>
      <w:r>
        <w:rPr>
          <w:rFonts w:eastAsia="Calibri" w:cs="Calibri"/>
          <w:sz w:val="21"/>
          <w:szCs w:val="21"/>
        </w:rPr>
        <w:t>Determine affected users, devices, data and services, and whether sensitive or personal data is involved.</w:t>
      </w:r>
    </w:p>
    <w:p>
      <w:pPr>
        <w:pStyle w:val="ListParagraph"/>
        <w:numPr>
          <w:ilvl w:val="0"/>
          <w:numId w:val="75"/>
        </w:numPr>
        <w:spacing w:before="0" w:after="60"/>
        <w:rPr/>
      </w:pPr>
      <w:r>
        <w:rPr>
          <w:rFonts w:eastAsia="Calibri" w:cs="Calibri"/>
          <w:sz w:val="21"/>
          <w:szCs w:val="21"/>
        </w:rPr>
        <w:t>Add suspect accounts and IP addresses to a watch list.</w:t>
      </w:r>
    </w:p>
    <w:p>
      <w:pPr>
        <w:pStyle w:val="ListParagraph"/>
        <w:numPr>
          <w:ilvl w:val="0"/>
          <w:numId w:val="76"/>
        </w:numPr>
        <w:spacing w:before="0" w:after="60"/>
        <w:rPr/>
      </w:pPr>
      <w:r>
        <w:rPr>
          <w:rFonts w:eastAsia="Calibri" w:cs="Calibri"/>
          <w:sz w:val="21"/>
          <w:szCs w:val="21"/>
        </w:rPr>
        <w:t xml:space="preserve">Spend no more than </w:t>
      </w:r>
      <w:r>
        <w:rPr>
          <w:rFonts w:eastAsia="Calibri" w:cs="Calibri"/>
          <w:b/>
          <w:bCs/>
          <w:sz w:val="21"/>
          <w:szCs w:val="21"/>
        </w:rPr>
        <w:t>one hour</w:t>
      </w:r>
      <w:r>
        <w:rPr>
          <w:rFonts w:eastAsia="Calibri" w:cs="Calibri"/>
          <w:sz w:val="21"/>
          <w:szCs w:val="21"/>
        </w:rPr>
        <w:t xml:space="preserve"> on initial analysis before escalating or seeking outside help.</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12" w:space="0" w:color="C00000"/>
              <w:left w:val="single" w:sz="12" w:space="0" w:color="C00000"/>
              <w:bottom w:val="single" w:sz="12" w:space="0" w:color="C00000"/>
              <w:right w:val="single" w:sz="12" w:space="0" w:color="C00000"/>
            </w:tcBorders>
            <w:shd w:fill="FDF2F2" w:val="clear"/>
          </w:tcPr>
          <w:p>
            <w:pPr>
              <w:pStyle w:val="Normal"/>
              <w:spacing w:before="0" w:after="80"/>
              <w:rPr/>
            </w:pPr>
            <w:r>
              <w:rPr>
                <w:rFonts w:eastAsia="Calibri" w:cs="Calibri"/>
                <w:b/>
                <w:bCs/>
                <w:color w:val="C00000"/>
                <w:sz w:val="21"/>
                <w:szCs w:val="21"/>
              </w:rPr>
              <w:t>IMPORTANT</w:t>
            </w:r>
          </w:p>
          <w:p>
            <w:pPr>
              <w:pStyle w:val="Normal"/>
              <w:spacing w:before="0" w:after="60"/>
              <w:rPr/>
            </w:pPr>
            <w:r>
              <w:rPr>
                <w:rFonts w:eastAsia="Calibri" w:cs="Calibri"/>
                <w:sz w:val="20"/>
                <w:szCs w:val="20"/>
              </w:rPr>
              <w:t xml:space="preserve">Do not ping, browse to, or otherwise contact a suspected attacker IP address or URL from </w:t>
            </w:r>
            <w:r>
              <w:rPr>
                <w:rFonts w:eastAsia="Calibri" w:cs="Calibri"/>
                <w:sz w:val="20"/>
                <w:szCs w:val="20"/>
              </w:rPr>
              <w:t>SanDwane</w:t>
            </w:r>
            <w:r>
              <w:rPr>
                <w:rFonts w:eastAsia="Calibri" w:cs="Calibri"/>
                <w:sz w:val="20"/>
                <w:szCs w:val="20"/>
              </w:rPr>
              <w:t>'s network: it may alert the attacker. Use the retained forensic provider or sand-boxed tools.</w:t>
            </w:r>
          </w:p>
          <w:p>
            <w:pPr>
              <w:pStyle w:val="Normal"/>
              <w:spacing w:before="0" w:after="60"/>
              <w:rPr/>
            </w:pPr>
            <w:r>
              <w:rPr>
                <w:rFonts w:eastAsia="Calibri" w:cs="Calibri"/>
                <w:sz w:val="20"/>
                <w:szCs w:val="20"/>
              </w:rPr>
              <w:t>Do not power off affected devices unless instructed: memory evidence may be lost. Isolate them using Defender for Endpoint instead.</w:t>
            </w:r>
          </w:p>
        </w:tc>
      </w:tr>
    </w:tbl>
    <w:p>
      <w:pPr>
        <w:pStyle w:val="Normal"/>
        <w:spacing w:before="0" w:after="80"/>
        <w:rPr/>
      </w:pPr>
      <w:r>
        <w:rPr/>
      </w:r>
    </w:p>
    <w:p>
      <w:pPr>
        <w:pStyle w:val="Heading2"/>
        <w:rPr/>
      </w:pPr>
      <w:r>
        <w:rPr/>
        <w:t>5.3 Activating the IMT</w:t>
      </w:r>
    </w:p>
    <w:p>
      <w:pPr>
        <w:pStyle w:val="Normal"/>
        <w:spacing w:before="0" w:after="120"/>
        <w:rPr/>
      </w:pPr>
      <w:r>
        <w:rPr>
          <w:rFonts w:eastAsia="Calibri" w:cs="Calibri"/>
          <w:sz w:val="21"/>
          <w:szCs w:val="21"/>
        </w:rPr>
        <w:t xml:space="preserve">When an incident is confirmed at Category 3 or above, the Incident Manager activates the IMT through the on-call alerting service and the out-of-band group (Section 6.4). The IMT meets in the </w:t>
      </w:r>
      <w:r>
        <w:rPr>
          <w:rFonts w:eastAsia="Calibri" w:cs="Calibri"/>
          <w:b/>
          <w:bCs/>
          <w:sz w:val="21"/>
          <w:szCs w:val="21"/>
        </w:rPr>
        <w:t>Incident Operations Room [Building / Room]</w:t>
      </w:r>
      <w:r>
        <w:rPr>
          <w:rFonts w:eastAsia="Calibri" w:cs="Calibri"/>
          <w:sz w:val="21"/>
          <w:szCs w:val="21"/>
        </w:rPr>
        <w:t xml:space="preserve"> or on the virtual bridge. After-hours room access: Facilities on-call [phone].</w:t>
      </w:r>
    </w:p>
    <w:p>
      <w:pPr>
        <w:pStyle w:val="Heading2"/>
        <w:rPr/>
      </w:pPr>
      <w:r>
        <w:rPr/>
      </w:r>
    </w:p>
    <w:p>
      <w:pPr>
        <w:pStyle w:val="Heading2"/>
        <w:rPr/>
      </w:pPr>
      <w:r>
        <w:rPr/>
        <w:t>5.4 Incident Classification</w:t>
      </w:r>
    </w:p>
    <w:p>
      <w:pPr>
        <w:pStyle w:val="Normal"/>
        <w:rPr/>
      </w:pPr>
      <w:r>
        <w:rPr/>
      </w:r>
    </w:p>
    <w:p>
      <w:pPr>
        <w:pStyle w:val="Normal"/>
        <w:spacing w:before="0" w:after="120"/>
        <w:rPr/>
      </w:pPr>
      <w:r>
        <w:rPr>
          <w:rFonts w:eastAsia="Calibri" w:cs="Calibri"/>
          <w:sz w:val="21"/>
          <w:szCs w:val="21"/>
        </w:rPr>
        <w:t xml:space="preserve">Incidents are classified by their business impact. The category drives who is notified and how quickly. When in doubt, classify </w:t>
      </w:r>
      <w:r>
        <w:rPr>
          <w:rFonts w:eastAsia="Calibri" w:cs="Calibri"/>
          <w:b/>
          <w:bCs/>
          <w:sz w:val="21"/>
          <w:szCs w:val="21"/>
        </w:rPr>
        <w:t>higher</w:t>
      </w:r>
      <w:r>
        <w:rPr>
          <w:rFonts w:eastAsia="Calibri" w:cs="Calibri"/>
          <w:sz w:val="21"/>
          <w:szCs w:val="21"/>
        </w:rPr>
        <w:t xml:space="preserve"> and downgrade later.</w:t>
      </w:r>
    </w:p>
    <w:tbl>
      <w:tblPr>
        <w:tblW w:w="9360" w:type="dxa"/>
        <w:jc w:val="left"/>
        <w:tblInd w:w="0" w:type="dxa"/>
        <w:tblLayout w:type="fixed"/>
        <w:tblCellMar>
          <w:top w:w="60" w:type="dxa"/>
          <w:left w:w="100" w:type="dxa"/>
          <w:bottom w:w="60" w:type="dxa"/>
          <w:right w:w="100" w:type="dxa"/>
        </w:tblCellMar>
      </w:tblPr>
      <w:tblGrid>
        <w:gridCol w:w="1900"/>
        <w:gridCol w:w="2700"/>
        <w:gridCol w:w="2560"/>
        <w:gridCol w:w="2199"/>
      </w:tblGrid>
      <w:tr>
        <w:trPr>
          <w:tblHeader w:val="true"/>
        </w:trPr>
        <w:tc>
          <w:tcPr>
            <w:tcW w:w="19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Category</w:t>
            </w:r>
          </w:p>
        </w:tc>
        <w:tc>
          <w:tcPr>
            <w:tcW w:w="27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Description and business impact</w:t>
            </w:r>
          </w:p>
        </w:tc>
        <w:tc>
          <w:tcPr>
            <w:tcW w:w="25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Examples</w:t>
            </w:r>
          </w:p>
        </w:tc>
        <w:tc>
          <w:tcPr>
            <w:tcW w:w="21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Escalation triggers to higher category</w:t>
            </w:r>
          </w:p>
        </w:tc>
      </w:tr>
      <w:tr>
        <w:trPr/>
        <w:tc>
          <w:tcPr>
            <w:tcW w:w="1900" w:type="dxa"/>
            <w:tcBorders>
              <w:top w:val="single" w:sz="4" w:space="0" w:color="8EA9C8"/>
              <w:left w:val="single" w:sz="4" w:space="0" w:color="8EA9C8"/>
              <w:bottom w:val="single" w:sz="4" w:space="0" w:color="8EA9C8"/>
              <w:right w:val="single" w:sz="4" w:space="0" w:color="8EA9C8"/>
            </w:tcBorders>
            <w:shd w:fill="E2EFDA" w:val="clear"/>
          </w:tcPr>
          <w:p>
            <w:pPr>
              <w:pStyle w:val="Normal"/>
              <w:spacing w:before="0" w:after="40"/>
              <w:rPr/>
            </w:pPr>
            <w:r>
              <w:rPr>
                <w:rFonts w:eastAsia="Calibri" w:cs="Calibri"/>
                <w:b/>
                <w:bCs/>
                <w:sz w:val="18"/>
                <w:szCs w:val="18"/>
              </w:rPr>
              <w:t>Category 4: Cyber Event</w:t>
            </w:r>
            <w:r>
              <w:rPr>
                <w:rFonts w:eastAsia="Calibri" w:cs="Calibri"/>
                <w:sz w:val="18"/>
                <w:szCs w:val="18"/>
              </w:rPr>
              <w:t xml:space="preserve"> (Low)</w:t>
            </w:r>
          </w:p>
        </w:tc>
        <w:tc>
          <w:tcPr>
            <w:tcW w:w="2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Suspected or unconfirmed incident. No impact on systems, data or operations.</w:t>
            </w:r>
          </w:p>
        </w:tc>
        <w:tc>
          <w:tcPr>
            <w:tcW w:w="25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Blocked phishing email; single failed malware attempt.</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Repeated alerts; evidence a control has been bypassed.</w:t>
            </w:r>
          </w:p>
        </w:tc>
      </w:tr>
      <w:tr>
        <w:trPr/>
        <w:tc>
          <w:tcPr>
            <w:tcW w:w="1900" w:type="dxa"/>
            <w:tcBorders>
              <w:top w:val="single" w:sz="4" w:space="0" w:color="8EA9C8"/>
              <w:left w:val="single" w:sz="4" w:space="0" w:color="8EA9C8"/>
              <w:bottom w:val="single" w:sz="4" w:space="0" w:color="8EA9C8"/>
              <w:right w:val="single" w:sz="4" w:space="0" w:color="8EA9C8"/>
            </w:tcBorders>
            <w:shd w:fill="FFF2CC" w:val="clear"/>
          </w:tcPr>
          <w:p>
            <w:pPr>
              <w:pStyle w:val="Normal"/>
              <w:spacing w:before="0" w:after="40"/>
              <w:rPr/>
            </w:pPr>
            <w:r>
              <w:rPr>
                <w:rFonts w:eastAsia="Calibri" w:cs="Calibri"/>
                <w:b/>
                <w:bCs/>
                <w:sz w:val="18"/>
                <w:szCs w:val="18"/>
              </w:rPr>
              <w:t>Category 3: Cyber Incident</w:t>
            </w:r>
            <w:r>
              <w:rPr>
                <w:rFonts w:eastAsia="Calibri" w:cs="Calibri"/>
                <w:sz w:val="18"/>
                <w:szCs w:val="18"/>
              </w:rPr>
              <w:t xml:space="preserve"> (Medium)</w:t>
            </w:r>
          </w:p>
        </w:tc>
        <w:tc>
          <w:tcPr>
            <w:tcW w:w="2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Confirmed compromise with minor, contained impact on a single user, device or non-critical system. No sensitive data exposed.</w:t>
            </w:r>
          </w:p>
        </w:tc>
        <w:tc>
          <w:tcPr>
            <w:tcW w:w="25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One compromised account quickly contained; malware on one laptop.</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Sensitive or personal data involved; spread to other systems; business service affected.</w:t>
            </w:r>
          </w:p>
        </w:tc>
      </w:tr>
      <w:tr>
        <w:trPr/>
        <w:tc>
          <w:tcPr>
            <w:tcW w:w="1900" w:type="dxa"/>
            <w:tcBorders>
              <w:top w:val="single" w:sz="4" w:space="0" w:color="8EA9C8"/>
              <w:left w:val="single" w:sz="4" w:space="0" w:color="8EA9C8"/>
              <w:bottom w:val="single" w:sz="4" w:space="0" w:color="8EA9C8"/>
              <w:right w:val="single" w:sz="4" w:space="0" w:color="8EA9C8"/>
            </w:tcBorders>
            <w:shd w:fill="FCE4D6" w:val="clear"/>
          </w:tcPr>
          <w:p>
            <w:pPr>
              <w:pStyle w:val="Normal"/>
              <w:spacing w:before="0" w:after="40"/>
              <w:rPr/>
            </w:pPr>
            <w:r>
              <w:rPr>
                <w:rFonts w:eastAsia="Calibri" w:cs="Calibri"/>
                <w:b/>
                <w:bCs/>
                <w:sz w:val="18"/>
                <w:szCs w:val="18"/>
              </w:rPr>
              <w:t>Category 2: Significant Incident</w:t>
            </w:r>
            <w:r>
              <w:rPr>
                <w:rFonts w:eastAsia="Calibri" w:cs="Calibri"/>
                <w:sz w:val="18"/>
                <w:szCs w:val="18"/>
              </w:rPr>
              <w:t xml:space="preserve"> (High)</w:t>
            </w:r>
          </w:p>
        </w:tc>
        <w:tc>
          <w:tcPr>
            <w:tcW w:w="2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Compromise affecting multiple systems or business units, OR any confirmed breach of personal, clinical or confidential data, OR disruption to an important service.</w:t>
            </w:r>
          </w:p>
        </w:tc>
        <w:tc>
          <w:tcPr>
            <w:tcW w:w="25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Data leak from SharePoint; compromise of several M365 accounts; Azure workload outage; supplier breach involving </w:t>
            </w:r>
            <w:r>
              <w:rPr>
                <w:rFonts w:eastAsia="Calibri" w:cs="Calibri"/>
                <w:sz w:val="18"/>
                <w:szCs w:val="18"/>
              </w:rPr>
              <w:t>SanDwane</w:t>
            </w:r>
            <w:r>
              <w:rPr>
                <w:rFonts w:eastAsia="Calibri" w:cs="Calibri"/>
                <w:sz w:val="18"/>
                <w:szCs w:val="18"/>
              </w:rPr>
              <w:t>’s data.</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Enterprise-wide impact; patient safety risk; regulatory, media or market exposure; ransomware.</w:t>
            </w:r>
          </w:p>
        </w:tc>
      </w:tr>
      <w:tr>
        <w:trPr/>
        <w:tc>
          <w:tcPr>
            <w:tcW w:w="1900" w:type="dxa"/>
            <w:tcBorders>
              <w:top w:val="single" w:sz="4" w:space="0" w:color="8EA9C8"/>
              <w:left w:val="single" w:sz="4" w:space="0" w:color="8EA9C8"/>
              <w:bottom w:val="single" w:sz="4" w:space="0" w:color="8EA9C8"/>
              <w:right w:val="single" w:sz="4" w:space="0" w:color="8EA9C8"/>
            </w:tcBorders>
            <w:shd w:fill="F4B6B6" w:val="clear"/>
          </w:tcPr>
          <w:p>
            <w:pPr>
              <w:pStyle w:val="Normal"/>
              <w:spacing w:before="0" w:after="40"/>
              <w:rPr/>
            </w:pPr>
            <w:r>
              <w:rPr>
                <w:rFonts w:eastAsia="Calibri" w:cs="Calibri"/>
                <w:b/>
                <w:bCs/>
                <w:sz w:val="18"/>
                <w:szCs w:val="18"/>
              </w:rPr>
              <w:t>Category 1: Cyber Crisis</w:t>
            </w:r>
            <w:r>
              <w:rPr>
                <w:rFonts w:eastAsia="Calibri" w:cs="Calibri"/>
                <w:sz w:val="18"/>
                <w:szCs w:val="18"/>
              </w:rPr>
              <w:t xml:space="preserve"> (Critical)</w:t>
            </w:r>
          </w:p>
        </w:tc>
        <w:tc>
          <w:tcPr>
            <w:tcW w:w="2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Severe or enterprise-wide impact threatening patient safety, product supply, regulatory standing, finances or reputation.</w:t>
            </w:r>
          </w:p>
        </w:tc>
        <w:tc>
          <w:tcPr>
            <w:tcW w:w="25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Ransomware across the enterprise; loss of M365/Entra ID; large-scale leak of clinical or patient data; compromise of manufacturing or pharmacovigilance systems; incident in the public domain.</w:t>
            </w:r>
          </w:p>
        </w:tc>
        <w:tc>
          <w:tcPr>
            <w:tcW w:w="21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N/A: highest category.</w:t>
            </w:r>
          </w:p>
        </w:tc>
      </w:tr>
    </w:tbl>
    <w:p>
      <w:pPr>
        <w:pStyle w:val="Heading2"/>
        <w:rPr/>
      </w:pPr>
      <w:r>
        <w:rPr/>
        <w:t>5.5 IMT Documentation</w:t>
      </w:r>
    </w:p>
    <w:p>
      <w:pPr>
        <w:pStyle w:val="Normal"/>
        <w:spacing w:before="0" w:after="120"/>
        <w:rPr/>
      </w:pPr>
      <w:r>
        <w:rPr>
          <w:rFonts w:eastAsia="Calibri" w:cs="Calibri"/>
          <w:sz w:val="21"/>
          <w:szCs w:val="21"/>
        </w:rPr>
        <w:t>From activation, the IMT Coordinator maintains:</w:t>
      </w:r>
    </w:p>
    <w:p>
      <w:pPr>
        <w:pStyle w:val="ListParagraph"/>
        <w:numPr>
          <w:ilvl w:val="0"/>
          <w:numId w:val="77"/>
        </w:numPr>
        <w:spacing w:before="0" w:after="60"/>
        <w:rPr/>
      </w:pPr>
      <w:r>
        <w:rPr>
          <w:rFonts w:eastAsia="Calibri" w:cs="Calibri"/>
          <w:b/>
          <w:bCs/>
          <w:sz w:val="21"/>
          <w:szCs w:val="21"/>
        </w:rPr>
        <w:t>Situation updates (Appendix A)</w:t>
      </w:r>
      <w:r>
        <w:rPr>
          <w:rFonts w:eastAsia="Calibri" w:cs="Calibri"/>
          <w:sz w:val="21"/>
          <w:szCs w:val="21"/>
        </w:rPr>
        <w:t>: issued at the cadence set in Section 6.2, covering status, classification, scope, impact, severity, notifications and next update time.</w:t>
      </w:r>
    </w:p>
    <w:p>
      <w:pPr>
        <w:pStyle w:val="ListParagraph"/>
        <w:numPr>
          <w:ilvl w:val="0"/>
          <w:numId w:val="78"/>
        </w:numPr>
        <w:spacing w:before="0" w:after="60"/>
        <w:rPr/>
      </w:pPr>
      <w:r>
        <w:rPr>
          <w:rFonts w:eastAsia="Calibri" w:cs="Calibri"/>
          <w:b/>
          <w:bCs/>
          <w:sz w:val="21"/>
          <w:szCs w:val="21"/>
        </w:rPr>
        <w:t>Incident log (Appendix B)</w:t>
      </w:r>
      <w:r>
        <w:rPr>
          <w:rFonts w:eastAsia="Calibri" w:cs="Calibri"/>
          <w:sz w:val="21"/>
          <w:szCs w:val="21"/>
        </w:rPr>
        <w:t>: every decision, its rationale, the decision maker, actions and timestamps.</w:t>
      </w:r>
    </w:p>
    <w:p>
      <w:pPr>
        <w:pStyle w:val="ListParagraph"/>
        <w:numPr>
          <w:ilvl w:val="0"/>
          <w:numId w:val="79"/>
        </w:numPr>
        <w:spacing w:before="0" w:after="60"/>
        <w:rPr/>
      </w:pPr>
      <w:r>
        <w:rPr>
          <w:rFonts w:eastAsia="Calibri" w:cs="Calibri"/>
          <w:b/>
          <w:bCs/>
          <w:sz w:val="21"/>
          <w:szCs w:val="21"/>
        </w:rPr>
        <w:t>Resolution action plan (Appendix C)</w:t>
      </w:r>
      <w:r>
        <w:rPr>
          <w:rFonts w:eastAsia="Calibri" w:cs="Calibri"/>
          <w:sz w:val="21"/>
          <w:szCs w:val="21"/>
        </w:rPr>
        <w:t xml:space="preserve"> and </w:t>
      </w:r>
      <w:r>
        <w:rPr>
          <w:rFonts w:eastAsia="Calibri" w:cs="Calibri"/>
          <w:b/>
          <w:bCs/>
          <w:sz w:val="21"/>
          <w:szCs w:val="21"/>
        </w:rPr>
        <w:t>evidence register (Appendix D)</w:t>
      </w:r>
      <w:r>
        <w:rPr>
          <w:rFonts w:eastAsia="Calibri" w:cs="Calibri"/>
          <w:sz w:val="21"/>
          <w:szCs w:val="21"/>
        </w:rPr>
        <w:t>.</w:t>
      </w:r>
    </w:p>
    <w:p>
      <w:pPr>
        <w:pStyle w:val="Normal"/>
        <w:spacing w:before="0" w:after="120"/>
        <w:rPr/>
      </w:pPr>
      <w:r>
        <w:rPr>
          <w:rFonts w:eastAsia="Calibri" w:cs="Calibri"/>
          <w:sz w:val="21"/>
          <w:szCs w:val="21"/>
        </w:rPr>
        <w:t>Incident records are stored in a restricted location outside the potentially compromised environment if necessary (e.g. a pre-provisioned, separately administered "break-glass" workspace).</w:t>
      </w:r>
    </w:p>
    <w:p>
      <w:pPr>
        <w:pStyle w:val="Heading2"/>
        <w:rPr/>
      </w:pPr>
      <w:r>
        <w:rPr/>
        <w:t>5.6 Step 2: Containment and Eradication</w:t>
      </w:r>
    </w:p>
    <w:p>
      <w:pPr>
        <w:pStyle w:val="Heading3"/>
        <w:rPr/>
      </w:pPr>
      <w:r>
        <w:rPr/>
        <w:t>Resolution action plan</w:t>
      </w:r>
    </w:p>
    <w:p>
      <w:pPr>
        <w:pStyle w:val="Normal"/>
        <w:spacing w:before="0" w:after="120"/>
        <w:rPr/>
      </w:pPr>
      <w:r>
        <w:rPr>
          <w:rFonts w:eastAsia="Calibri" w:cs="Calibri"/>
          <w:sz w:val="21"/>
          <w:szCs w:val="21"/>
        </w:rPr>
        <w:t>The IMT develops a resolution action plan (Appendix C) covering:</w:t>
      </w:r>
    </w:p>
    <w:p>
      <w:pPr>
        <w:pStyle w:val="ListParagraph"/>
        <w:numPr>
          <w:ilvl w:val="0"/>
          <w:numId w:val="80"/>
        </w:numPr>
        <w:spacing w:before="0" w:after="60"/>
        <w:rPr/>
      </w:pPr>
      <w:r>
        <w:rPr>
          <w:rFonts w:eastAsia="Calibri" w:cs="Calibri"/>
          <w:b/>
          <w:bCs/>
          <w:sz w:val="21"/>
          <w:szCs w:val="21"/>
        </w:rPr>
        <w:t>Containment</w:t>
      </w:r>
      <w:r>
        <w:rPr>
          <w:rFonts w:eastAsia="Calibri" w:cs="Calibri"/>
          <w:sz w:val="21"/>
          <w:szCs w:val="21"/>
        </w:rPr>
        <w:t>: stop the spread (isolate devices, disable accounts, revoke sessions and sharing links, block IOCs, apply Conditional Access restrictions).</w:t>
      </w:r>
    </w:p>
    <w:p>
      <w:pPr>
        <w:pStyle w:val="ListParagraph"/>
        <w:numPr>
          <w:ilvl w:val="0"/>
          <w:numId w:val="81"/>
        </w:numPr>
        <w:spacing w:before="0" w:after="60"/>
        <w:rPr/>
      </w:pPr>
      <w:r>
        <w:rPr>
          <w:rFonts w:eastAsia="Calibri" w:cs="Calibri"/>
          <w:b/>
          <w:bCs/>
          <w:sz w:val="21"/>
          <w:szCs w:val="21"/>
        </w:rPr>
        <w:t>Eradication</w:t>
      </w:r>
      <w:r>
        <w:rPr>
          <w:rFonts w:eastAsia="Calibri" w:cs="Calibri"/>
          <w:sz w:val="21"/>
          <w:szCs w:val="21"/>
        </w:rPr>
        <w:t>: remove the threat (remove malware and persistence, remove malicious rules and app consents, close the vulnerability, rotate credentials and keys).</w:t>
      </w:r>
    </w:p>
    <w:p>
      <w:pPr>
        <w:pStyle w:val="ListParagraph"/>
        <w:numPr>
          <w:ilvl w:val="0"/>
          <w:numId w:val="82"/>
        </w:numPr>
        <w:spacing w:before="0" w:after="60"/>
        <w:rPr/>
      </w:pPr>
      <w:r>
        <w:rPr>
          <w:rFonts w:eastAsia="Calibri" w:cs="Calibri"/>
          <w:b/>
          <w:bCs/>
          <w:sz w:val="21"/>
          <w:szCs w:val="21"/>
        </w:rPr>
        <w:t>Capability and capacity</w:t>
      </w:r>
      <w:r>
        <w:rPr>
          <w:rFonts w:eastAsia="Calibri" w:cs="Calibri"/>
          <w:sz w:val="21"/>
          <w:szCs w:val="21"/>
        </w:rPr>
        <w:t>: people, tools and third-party support required.</w:t>
      </w:r>
    </w:p>
    <w:p>
      <w:pPr>
        <w:pStyle w:val="ListParagraph"/>
        <w:numPr>
          <w:ilvl w:val="0"/>
          <w:numId w:val="83"/>
        </w:numPr>
        <w:spacing w:before="0" w:after="60"/>
        <w:rPr/>
      </w:pPr>
      <w:r>
        <w:rPr>
          <w:rFonts w:eastAsia="Calibri" w:cs="Calibri"/>
          <w:b/>
          <w:bCs/>
          <w:sz w:val="21"/>
          <w:szCs w:val="21"/>
        </w:rPr>
        <w:t>Communications</w:t>
      </w:r>
      <w:r>
        <w:rPr>
          <w:rFonts w:eastAsia="Calibri" w:cs="Calibri"/>
          <w:sz w:val="21"/>
          <w:szCs w:val="21"/>
        </w:rPr>
        <w:t>: what is communicated, to whom, when and by whom.</w:t>
      </w:r>
    </w:p>
    <w:p>
      <w:pPr>
        <w:pStyle w:val="Normal"/>
        <w:spacing w:before="0" w:after="120"/>
        <w:rPr/>
      </w:pPr>
      <w:r>
        <w:rPr>
          <w:rFonts w:eastAsia="Calibri" w:cs="Calibri"/>
          <w:sz w:val="21"/>
          <w:szCs w:val="21"/>
        </w:rPr>
        <w:t>Containment that affects business operations (e.g. disabling SharePoint external sharing for the whole tenant) must be approved per Section 4.3.</w:t>
      </w:r>
    </w:p>
    <w:p>
      <w:pPr>
        <w:pStyle w:val="Heading3"/>
        <w:rPr/>
      </w:pPr>
      <w:r>
        <w:rPr/>
        <w:t>Evidence preservation</w:t>
      </w:r>
    </w:p>
    <w:p>
      <w:pPr>
        <w:pStyle w:val="Normal"/>
        <w:spacing w:before="0" w:after="120"/>
        <w:rPr/>
      </w:pPr>
      <w:r>
        <w:rPr>
          <w:rFonts w:eastAsia="Calibri" w:cs="Calibri"/>
          <w:sz w:val="21"/>
          <w:szCs w:val="21"/>
        </w:rPr>
        <w:t>Evidence must support forensic analysis, insurance claims, regulatory inquiries and possible legal action. Relevant evidence includes:</w:t>
      </w:r>
    </w:p>
    <w:p>
      <w:pPr>
        <w:pStyle w:val="ListParagraph"/>
        <w:numPr>
          <w:ilvl w:val="0"/>
          <w:numId w:val="84"/>
        </w:numPr>
        <w:spacing w:before="0" w:after="60"/>
        <w:rPr/>
      </w:pPr>
      <w:r>
        <w:rPr>
          <w:rFonts w:eastAsia="Calibri" w:cs="Calibri"/>
          <w:sz w:val="21"/>
          <w:szCs w:val="21"/>
        </w:rPr>
        <w:t>Microsoft Purview Audit logs, Entra ID sign-in and audit logs, Defender XDR incidents and timelines, Sentinel data, Azure Activity and resource logs.</w:t>
      </w:r>
    </w:p>
    <w:p>
      <w:pPr>
        <w:pStyle w:val="ListParagraph"/>
        <w:numPr>
          <w:ilvl w:val="0"/>
          <w:numId w:val="85"/>
        </w:numPr>
        <w:spacing w:before="0" w:after="60"/>
        <w:rPr/>
      </w:pPr>
      <w:r>
        <w:rPr>
          <w:rFonts w:eastAsia="Calibri" w:cs="Calibri"/>
          <w:sz w:val="21"/>
          <w:szCs w:val="21"/>
        </w:rPr>
        <w:t>Disk and memory images collected via Defender for Endpoint "collect investigation package" or forensic tools.</w:t>
      </w:r>
    </w:p>
    <w:p>
      <w:pPr>
        <w:pStyle w:val="ListParagraph"/>
        <w:numPr>
          <w:ilvl w:val="0"/>
          <w:numId w:val="86"/>
        </w:numPr>
        <w:spacing w:before="0" w:after="60"/>
        <w:rPr/>
      </w:pPr>
      <w:r>
        <w:rPr>
          <w:rFonts w:eastAsia="Calibri" w:cs="Calibri"/>
          <w:sz w:val="21"/>
          <w:szCs w:val="21"/>
        </w:rPr>
        <w:t>Mailboxes, OneDrive and Teams content preserved with Purview eDiscovery legal holds.</w:t>
      </w:r>
    </w:p>
    <w:p>
      <w:pPr>
        <w:pStyle w:val="ListParagraph"/>
        <w:numPr>
          <w:ilvl w:val="0"/>
          <w:numId w:val="87"/>
        </w:numPr>
        <w:spacing w:before="0" w:after="60"/>
        <w:rPr/>
      </w:pPr>
      <w:r>
        <w:rPr>
          <w:rFonts w:eastAsia="Calibri" w:cs="Calibri"/>
          <w:sz w:val="21"/>
          <w:szCs w:val="21"/>
        </w:rPr>
        <w:t>Network flows, firewall and proxy logs; screenshots; investigation notes; costs incurred.</w:t>
      </w:r>
    </w:p>
    <w:p>
      <w:pPr>
        <w:pStyle w:val="Normal"/>
        <w:spacing w:before="0" w:after="120"/>
        <w:rPr/>
      </w:pPr>
      <w:r>
        <w:rPr>
          <w:rFonts w:eastAsia="Calibri" w:cs="Calibri"/>
          <w:sz w:val="21"/>
          <w:szCs w:val="21"/>
        </w:rPr>
        <w:t>Log retention should be extended immediately during an incident. One named IMT member owns the evidence register (Appendix D). Every access and transfer is logged to maintain the chain of custody. Forensic work is directed by Legal where privilege is required.</w:t>
      </w:r>
    </w:p>
    <w:p>
      <w:pPr>
        <w:pStyle w:val="Heading2"/>
        <w:rPr/>
      </w:pPr>
      <w:r>
        <w:rPr/>
        <w:t>5.7 Step 3: Communications and Engagement</w:t>
      </w:r>
    </w:p>
    <w:p>
      <w:pPr>
        <w:pStyle w:val="Normal"/>
        <w:spacing w:before="0" w:after="120"/>
        <w:rPr/>
      </w:pPr>
      <w:r>
        <w:rPr>
          <w:rFonts w:eastAsia="Calibri" w:cs="Calibri"/>
          <w:sz w:val="21"/>
          <w:szCs w:val="21"/>
        </w:rPr>
        <w:t xml:space="preserve">Communications and stakeholder engagement are covered in full in </w:t>
      </w:r>
      <w:r>
        <w:rPr>
          <w:rFonts w:eastAsia="Calibri" w:cs="Calibri"/>
          <w:b/>
          <w:bCs/>
          <w:sz w:val="21"/>
          <w:szCs w:val="21"/>
        </w:rPr>
        <w:t>Section 6</w:t>
      </w:r>
      <w:r>
        <w:rPr>
          <w:rFonts w:eastAsia="Calibri" w:cs="Calibri"/>
          <w:sz w:val="21"/>
          <w:szCs w:val="21"/>
        </w:rPr>
        <w:t>.</w:t>
      </w:r>
    </w:p>
    <w:p>
      <w:pPr>
        <w:pStyle w:val="Heading2"/>
        <w:rPr/>
      </w:pPr>
      <w:r>
        <w:rPr/>
        <w:t>5.8 Step 4: Recover</w:t>
      </w:r>
    </w:p>
    <w:p>
      <w:pPr>
        <w:pStyle w:val="Normal"/>
        <w:spacing w:before="0" w:after="120"/>
        <w:rPr/>
      </w:pPr>
      <w:r>
        <w:rPr>
          <w:rFonts w:eastAsia="Calibri" w:cs="Calibri"/>
          <w:sz w:val="21"/>
          <w:szCs w:val="21"/>
        </w:rPr>
        <w:t>The IMT, with IT and Business Continuity, develops a recovery plan that includes:</w:t>
      </w:r>
    </w:p>
    <w:p>
      <w:pPr>
        <w:pStyle w:val="ListParagraph"/>
        <w:numPr>
          <w:ilvl w:val="0"/>
          <w:numId w:val="88"/>
        </w:numPr>
        <w:spacing w:before="0" w:after="60"/>
        <w:rPr/>
      </w:pPr>
      <w:r>
        <w:rPr>
          <w:rFonts w:eastAsia="Calibri" w:cs="Calibri"/>
          <w:sz w:val="21"/>
          <w:szCs w:val="21"/>
        </w:rPr>
        <w:t>Recovery priorities agreed with the SEMT, based on business impact (identity and Entra ID first, then critical business and GxP systems, then other services).</w:t>
      </w:r>
    </w:p>
    <w:p>
      <w:pPr>
        <w:pStyle w:val="ListParagraph"/>
        <w:numPr>
          <w:ilvl w:val="0"/>
          <w:numId w:val="89"/>
        </w:numPr>
        <w:spacing w:before="0" w:after="60"/>
        <w:rPr/>
      </w:pPr>
      <w:r>
        <w:rPr>
          <w:rFonts w:eastAsia="Calibri" w:cs="Calibri"/>
          <w:sz w:val="21"/>
          <w:szCs w:val="21"/>
        </w:rPr>
        <w:t>Restoration from clean, verified backups; rebuilding compromised systems rather than cleaning them where trust cannot be confirmed.</w:t>
      </w:r>
    </w:p>
    <w:p>
      <w:pPr>
        <w:pStyle w:val="ListParagraph"/>
        <w:numPr>
          <w:ilvl w:val="0"/>
          <w:numId w:val="90"/>
        </w:numPr>
        <w:spacing w:before="0" w:after="60"/>
        <w:rPr/>
      </w:pPr>
      <w:r>
        <w:rPr>
          <w:rFonts w:eastAsia="Calibri" w:cs="Calibri"/>
          <w:sz w:val="21"/>
          <w:szCs w:val="21"/>
        </w:rPr>
        <w:t>Validation of GxP systems by Quality before returning them to use, with data integrity checks.</w:t>
      </w:r>
    </w:p>
    <w:p>
      <w:pPr>
        <w:pStyle w:val="ListParagraph"/>
        <w:numPr>
          <w:ilvl w:val="0"/>
          <w:numId w:val="91"/>
        </w:numPr>
        <w:spacing w:before="0" w:after="60"/>
        <w:rPr/>
      </w:pPr>
      <w:r>
        <w:rPr>
          <w:rFonts w:eastAsia="Calibri" w:cs="Calibri"/>
          <w:sz w:val="21"/>
          <w:szCs w:val="21"/>
        </w:rPr>
        <w:t>Heightened monitoring for at least 30 days to confirm the attacker has not returned.</w:t>
      </w:r>
    </w:p>
    <w:p>
      <w:pPr>
        <w:pStyle w:val="ListParagraph"/>
        <w:numPr>
          <w:ilvl w:val="0"/>
          <w:numId w:val="92"/>
        </w:numPr>
        <w:spacing w:before="0" w:after="60"/>
        <w:rPr/>
      </w:pPr>
      <w:r>
        <w:rPr>
          <w:rFonts w:eastAsia="Calibri" w:cs="Calibri"/>
          <w:sz w:val="21"/>
          <w:szCs w:val="21"/>
        </w:rPr>
        <w:t>Remediation of the vulnerabilities that allowed the incident.</w:t>
      </w:r>
    </w:p>
    <w:p>
      <w:pPr>
        <w:pStyle w:val="Heading3"/>
        <w:rPr/>
      </w:pPr>
      <w:r>
        <w:rPr/>
        <w:t>Stand down</w:t>
      </w:r>
    </w:p>
    <w:p>
      <w:pPr>
        <w:pStyle w:val="Normal"/>
        <w:spacing w:before="0" w:after="120"/>
        <w:rPr/>
      </w:pPr>
      <w:r>
        <w:rPr>
          <w:rFonts w:eastAsia="Calibri" w:cs="Calibri"/>
          <w:sz w:val="21"/>
          <w:szCs w:val="21"/>
        </w:rPr>
        <w:t>When recovery is complete, the Incident Manager recommends stand-down. If the SEMT was activated, only the SEMT Chair or Deputy Chair can authorize stand-down. A final situation update is issued to all stakeholders.</w:t>
      </w:r>
    </w:p>
    <w:p>
      <w:pPr>
        <w:pStyle w:val="Heading2"/>
        <w:rPr/>
      </w:pPr>
      <w:r>
        <w:rPr/>
        <w:t>5.9 Step 5: Learn and Improve</w:t>
      </w:r>
    </w:p>
    <w:p>
      <w:pPr>
        <w:pStyle w:val="Normal"/>
        <w:spacing w:before="0" w:after="120"/>
        <w:rPr/>
      </w:pPr>
      <w:r>
        <w:rPr>
          <w:rFonts w:eastAsia="Calibri" w:cs="Calibri"/>
          <w:sz w:val="21"/>
          <w:szCs w:val="21"/>
        </w:rPr>
        <w:t>A blameless post-incident review is held within 10 business days for every Category 1–3 incident, covering:</w:t>
      </w:r>
    </w:p>
    <w:p>
      <w:pPr>
        <w:pStyle w:val="ListParagraph"/>
        <w:numPr>
          <w:ilvl w:val="0"/>
          <w:numId w:val="93"/>
        </w:numPr>
        <w:spacing w:before="0" w:after="60"/>
        <w:rPr/>
      </w:pPr>
      <w:r>
        <w:rPr>
          <w:rFonts w:eastAsia="Calibri" w:cs="Calibri"/>
          <w:sz w:val="21"/>
          <w:szCs w:val="21"/>
        </w:rPr>
        <w:t>What happened, and when? How well did staff, management and the SEMT perform?</w:t>
      </w:r>
    </w:p>
    <w:p>
      <w:pPr>
        <w:pStyle w:val="ListParagraph"/>
        <w:numPr>
          <w:ilvl w:val="0"/>
          <w:numId w:val="94"/>
        </w:numPr>
        <w:spacing w:before="0" w:after="60"/>
        <w:rPr/>
      </w:pPr>
      <w:r>
        <w:rPr>
          <w:rFonts w:eastAsia="Calibri" w:cs="Calibri"/>
          <w:sz w:val="21"/>
          <w:szCs w:val="21"/>
        </w:rPr>
        <w:t>Were procedures followed and adequate? What information was needed sooner?</w:t>
      </w:r>
    </w:p>
    <w:p>
      <w:pPr>
        <w:pStyle w:val="ListParagraph"/>
        <w:numPr>
          <w:ilvl w:val="0"/>
          <w:numId w:val="95"/>
        </w:numPr>
        <w:spacing w:before="0" w:after="60"/>
        <w:rPr/>
      </w:pPr>
      <w:r>
        <w:rPr>
          <w:rFonts w:eastAsia="Calibri" w:cs="Calibri"/>
          <w:sz w:val="21"/>
          <w:szCs w:val="21"/>
        </w:rPr>
        <w:t>Did escalation and stakeholder engagement work? Were decisions timely?</w:t>
      </w:r>
    </w:p>
    <w:p>
      <w:pPr>
        <w:pStyle w:val="ListParagraph"/>
        <w:numPr>
          <w:ilvl w:val="0"/>
          <w:numId w:val="96"/>
        </w:numPr>
        <w:spacing w:before="0" w:after="60"/>
        <w:rPr/>
      </w:pPr>
      <w:r>
        <w:rPr>
          <w:rFonts w:eastAsia="Calibri" w:cs="Calibri"/>
          <w:sz w:val="21"/>
          <w:szCs w:val="21"/>
        </w:rPr>
        <w:t>What would we do differently? What controls, tools or training would prevent or detect a recurrence?</w:t>
      </w:r>
    </w:p>
    <w:p>
      <w:pPr>
        <w:pStyle w:val="Normal"/>
        <w:spacing w:before="0" w:after="120"/>
        <w:rPr/>
      </w:pPr>
      <w:r>
        <w:rPr>
          <w:rFonts w:eastAsia="Calibri" w:cs="Calibri"/>
          <w:sz w:val="21"/>
          <w:szCs w:val="21"/>
        </w:rPr>
        <w:t>Findings are documented in a report to the SEMT, and improvement actions are tracked with owners and due dates in the risk register. Category 1 and 2 reviews are reported to the Board Audit &amp; Risk Committee.</w:t>
      </w:r>
    </w:p>
    <w:p>
      <w:pPr>
        <w:pStyle w:val="Normal"/>
        <w:rPr/>
      </w:pPr>
      <w:r>
        <w:rPr/>
      </w:r>
      <w:r>
        <w:br w:type="page"/>
      </w:r>
    </w:p>
    <w:p>
      <w:pPr>
        <w:pStyle w:val="Heading1"/>
        <w:spacing w:before="0" w:after="160"/>
        <w:rPr/>
      </w:pPr>
      <w:r>
        <w:rPr/>
        <w:t>6. Senior Management and Stakeholder Engagement</w:t>
      </w:r>
    </w:p>
    <w:p>
      <w:pPr>
        <w:pStyle w:val="Normal"/>
        <w:spacing w:before="0" w:after="120"/>
        <w:rPr/>
      </w:pPr>
      <w:r>
        <w:rPr>
          <w:rFonts w:eastAsia="Calibri" w:cs="Calibri"/>
          <w:sz w:val="21"/>
          <w:szCs w:val="21"/>
        </w:rPr>
        <w:t>This section addresses the gap identified after the recent breach. It sets out exactly who is told, when, by whom and how, so that senior managers are engaged early and stakeholders receive consistent, approved messages.</w:t>
      </w:r>
    </w:p>
    <w:p>
      <w:pPr>
        <w:pStyle w:val="Heading2"/>
        <w:rPr/>
      </w:pPr>
      <w:r>
        <w:rPr/>
        <w:t>6.1 Escalation Matrix</w:t>
      </w:r>
    </w:p>
    <w:tbl>
      <w:tblPr>
        <w:tblW w:w="9360" w:type="dxa"/>
        <w:jc w:val="left"/>
        <w:tblInd w:w="0" w:type="dxa"/>
        <w:tblLayout w:type="fixed"/>
        <w:tblCellMar>
          <w:top w:w="60" w:type="dxa"/>
          <w:left w:w="100" w:type="dxa"/>
          <w:bottom w:w="60" w:type="dxa"/>
          <w:right w:w="100" w:type="dxa"/>
        </w:tblCellMar>
      </w:tblPr>
      <w:tblGrid>
        <w:gridCol w:w="1300"/>
        <w:gridCol w:w="2858"/>
        <w:gridCol w:w="1900"/>
        <w:gridCol w:w="1702"/>
        <w:gridCol w:w="1600"/>
      </w:tblGrid>
      <w:tr>
        <w:trPr>
          <w:tblHeader w:val="true"/>
        </w:trPr>
        <w:tc>
          <w:tcPr>
            <w:tcW w:w="13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Category</w:t>
            </w:r>
          </w:p>
        </w:tc>
        <w:tc>
          <w:tcPr>
            <w:tcW w:w="285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Notify</w:t>
            </w:r>
          </w:p>
        </w:tc>
        <w:tc>
          <w:tcPr>
            <w:tcW w:w="19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Timeframe (from classification)</w:t>
            </w:r>
          </w:p>
        </w:tc>
        <w:tc>
          <w:tcPr>
            <w:tcW w:w="17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Method</w:t>
            </w:r>
          </w:p>
        </w:tc>
        <w:tc>
          <w:tcPr>
            <w:tcW w:w="16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Responsible</w:t>
            </w:r>
          </w:p>
        </w:tc>
      </w:tr>
      <w:tr>
        <w:trPr/>
        <w:tc>
          <w:tcPr>
            <w:tcW w:w="1300" w:type="dxa"/>
            <w:tcBorders>
              <w:top w:val="single" w:sz="4" w:space="0" w:color="8EA9C8"/>
              <w:left w:val="single" w:sz="4" w:space="0" w:color="8EA9C8"/>
              <w:bottom w:val="single" w:sz="4" w:space="0" w:color="8EA9C8"/>
              <w:right w:val="single" w:sz="4" w:space="0" w:color="8EA9C8"/>
            </w:tcBorders>
            <w:shd w:fill="E2EFDA" w:val="clear"/>
          </w:tcPr>
          <w:p>
            <w:pPr>
              <w:pStyle w:val="Normal"/>
              <w:spacing w:before="0" w:after="40"/>
              <w:rPr/>
            </w:pPr>
            <w:r>
              <w:rPr>
                <w:rFonts w:eastAsia="Calibri" w:cs="Calibri"/>
                <w:sz w:val="18"/>
                <w:szCs w:val="18"/>
              </w:rPr>
              <w:t>4: Event</w:t>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 Lead</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Next business day (ticket)</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Ticketing system</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SOC analyst</w:t>
            </w:r>
          </w:p>
        </w:tc>
      </w:tr>
      <w:tr>
        <w:trPr/>
        <w:tc>
          <w:tcPr>
            <w:tcW w:w="1300" w:type="dxa"/>
            <w:tcBorders>
              <w:top w:val="single" w:sz="4" w:space="0" w:color="8EA9C8"/>
              <w:left w:val="single" w:sz="4" w:space="0" w:color="8EA9C8"/>
              <w:bottom w:val="single" w:sz="4" w:space="0" w:color="8EA9C8"/>
              <w:right w:val="single" w:sz="4" w:space="0" w:color="8EA9C8"/>
            </w:tcBorders>
            <w:shd w:fill="FFF2CC" w:val="clear"/>
          </w:tcPr>
          <w:p>
            <w:pPr>
              <w:pStyle w:val="Normal"/>
              <w:spacing w:before="0" w:after="40"/>
              <w:rPr/>
            </w:pPr>
            <w:r>
              <w:rPr>
                <w:rFonts w:eastAsia="Calibri" w:cs="Calibri"/>
                <w:sz w:val="18"/>
                <w:szCs w:val="18"/>
              </w:rPr>
              <w:t>3: Incident</w:t>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 CISO; affected system owner</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4 hours</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Phone / Teams</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 Lead</w:t>
            </w:r>
          </w:p>
        </w:tc>
      </w:tr>
      <w:tr>
        <w:trPr/>
        <w:tc>
          <w:tcPr>
            <w:tcW w:w="1300" w:type="dxa"/>
            <w:tcBorders>
              <w:top w:val="single" w:sz="4" w:space="0" w:color="8EA9C8"/>
              <w:left w:val="single" w:sz="4" w:space="0" w:color="8EA9C8"/>
              <w:bottom w:val="single" w:sz="4" w:space="0" w:color="8EA9C8"/>
              <w:right w:val="single" w:sz="4" w:space="0" w:color="8EA9C8"/>
            </w:tcBorders>
            <w:shd w:fill="FCE4D6" w:val="clear"/>
          </w:tcPr>
          <w:p>
            <w:pPr>
              <w:pStyle w:val="Normal"/>
              <w:spacing w:before="0" w:after="40"/>
              <w:rPr/>
            </w:pPr>
            <w:r>
              <w:rPr>
                <w:rFonts w:eastAsia="Calibri" w:cs="Calibri"/>
                <w:sz w:val="18"/>
                <w:szCs w:val="18"/>
              </w:rPr>
              <w:t>2: Significant</w:t>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 CIO; General Counsel; DPO; affected business unit head; Communications</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1 hour</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Phone call, then written summary</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w:t>
            </w:r>
          </w:p>
        </w:tc>
      </w:tr>
      <w:tr>
        <w:trPr/>
        <w:tc>
          <w:tcPr>
            <w:tcW w:w="1300" w:type="dxa"/>
            <w:tcBorders>
              <w:top w:val="single" w:sz="4" w:space="0" w:color="8EA9C8"/>
              <w:left w:val="single" w:sz="4" w:space="0" w:color="8EA9C8"/>
              <w:bottom w:val="single" w:sz="4" w:space="0" w:color="8EA9C8"/>
              <w:right w:val="single" w:sz="4" w:space="0" w:color="8EA9C8"/>
            </w:tcBorders>
            <w:shd w:fill="FCE4D6" w:val="clear"/>
          </w:tcPr>
          <w:p>
            <w:pPr>
              <w:pStyle w:val="Normal"/>
              <w:spacing w:before="0" w:after="40"/>
              <w:rPr/>
            </w:pPr>
            <w:r>
              <w:rPr/>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 and full SEMT (on recommendation)</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4 hours</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Phone call; SEMT bridge</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r>
      <w:tr>
        <w:trPr/>
        <w:tc>
          <w:tcPr>
            <w:tcW w:w="1300" w:type="dxa"/>
            <w:tcBorders>
              <w:top w:val="single" w:sz="4" w:space="0" w:color="8EA9C8"/>
              <w:left w:val="single" w:sz="4" w:space="0" w:color="8EA9C8"/>
              <w:bottom w:val="single" w:sz="4" w:space="0" w:color="8EA9C8"/>
              <w:right w:val="single" w:sz="4" w:space="0" w:color="8EA9C8"/>
            </w:tcBorders>
            <w:shd w:fill="F4B6B6" w:val="clear"/>
          </w:tcPr>
          <w:p>
            <w:pPr>
              <w:pStyle w:val="Normal"/>
              <w:spacing w:before="0" w:after="40"/>
              <w:rPr/>
            </w:pPr>
            <w:r>
              <w:rPr>
                <w:rFonts w:eastAsia="Calibri" w:cs="Calibri"/>
                <w:sz w:val="18"/>
                <w:szCs w:val="18"/>
              </w:rPr>
              <w:t>1: Crisis</w:t>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 and full SEMT</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30 minutes</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Phone call / out-of-band group</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 (or Incident Manager)</w:t>
            </w:r>
          </w:p>
        </w:tc>
      </w:tr>
      <w:tr>
        <w:trPr/>
        <w:tc>
          <w:tcPr>
            <w:tcW w:w="1300" w:type="dxa"/>
            <w:tcBorders>
              <w:top w:val="single" w:sz="4" w:space="0" w:color="8EA9C8"/>
              <w:left w:val="single" w:sz="4" w:space="0" w:color="8EA9C8"/>
              <w:bottom w:val="single" w:sz="4" w:space="0" w:color="8EA9C8"/>
              <w:right w:val="single" w:sz="4" w:space="0" w:color="8EA9C8"/>
            </w:tcBorders>
            <w:shd w:fill="F4B6B6" w:val="clear"/>
          </w:tcPr>
          <w:p>
            <w:pPr>
              <w:pStyle w:val="Normal"/>
              <w:spacing w:before="0" w:after="40"/>
              <w:rPr/>
            </w:pPr>
            <w:r>
              <w:rPr/>
            </w:r>
          </w:p>
        </w:tc>
        <w:tc>
          <w:tcPr>
            <w:tcW w:w="285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Board Chair and Audit &amp; Risk Committee Chair</w:t>
            </w:r>
          </w:p>
        </w:tc>
        <w:tc>
          <w:tcPr>
            <w:tcW w:w="19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Within 24 hours (sooner if public)</w:t>
            </w:r>
          </w:p>
        </w:tc>
        <w:tc>
          <w:tcPr>
            <w:tcW w:w="17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Phone call by CEO</w:t>
            </w:r>
          </w:p>
        </w:tc>
        <w:tc>
          <w:tcPr>
            <w:tcW w:w="16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w:t>
            </w:r>
          </w:p>
        </w:tc>
      </w:tr>
    </w:tbl>
    <w:p>
      <w:pPr>
        <w:pStyle w:val="Normal"/>
        <w:spacing w:before="0" w:after="120"/>
        <w:rPr/>
      </w:pPr>
      <w:r>
        <w:rPr>
          <w:rFonts w:eastAsia="Calibri" w:cs="Calibri"/>
          <w:i/>
          <w:iCs/>
          <w:sz w:val="21"/>
          <w:szCs w:val="21"/>
        </w:rPr>
        <w:t>Any incident that is, or is likely to become, public must be escalated to Corporate Communications and the CEO immediately, regardless of category.</w:t>
      </w:r>
    </w:p>
    <w:p>
      <w:pPr>
        <w:pStyle w:val="Heading2"/>
        <w:rPr/>
      </w:pPr>
      <w:r>
        <w:rPr/>
        <w:t>6.2 Engagement Rhythm (Battle Rhythm)</w:t>
      </w:r>
    </w:p>
    <w:tbl>
      <w:tblPr>
        <w:tblW w:w="9360" w:type="dxa"/>
        <w:jc w:val="left"/>
        <w:tblInd w:w="0" w:type="dxa"/>
        <w:tblLayout w:type="fixed"/>
        <w:tblCellMar>
          <w:top w:w="60" w:type="dxa"/>
          <w:left w:w="100" w:type="dxa"/>
          <w:bottom w:w="60" w:type="dxa"/>
          <w:right w:w="100" w:type="dxa"/>
        </w:tblCellMar>
      </w:tblPr>
      <w:tblGrid>
        <w:gridCol w:w="2000"/>
        <w:gridCol w:w="1598"/>
        <w:gridCol w:w="2162"/>
        <w:gridCol w:w="1598"/>
        <w:gridCol w:w="2002"/>
      </w:tblGrid>
      <w:tr>
        <w:trPr>
          <w:tblHeader w:val="true"/>
        </w:trPr>
        <w:tc>
          <w:tcPr>
            <w:tcW w:w="20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Forum</w:t>
            </w:r>
          </w:p>
        </w:tc>
        <w:tc>
          <w:tcPr>
            <w:tcW w:w="15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Category 2</w:t>
            </w:r>
          </w:p>
        </w:tc>
        <w:tc>
          <w:tcPr>
            <w:tcW w:w="21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Category 1</w:t>
            </w:r>
          </w:p>
        </w:tc>
        <w:tc>
          <w:tcPr>
            <w:tcW w:w="15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Chaired by</w:t>
            </w:r>
          </w:p>
        </w:tc>
        <w:tc>
          <w:tcPr>
            <w:tcW w:w="20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Output</w:t>
            </w:r>
          </w:p>
        </w:tc>
      </w:tr>
      <w:tr>
        <w:trPr/>
        <w:tc>
          <w:tcPr>
            <w:tcW w:w="2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stand-up</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Every 4 hours</w:t>
            </w:r>
          </w:p>
        </w:tc>
        <w:tc>
          <w:tcPr>
            <w:tcW w:w="21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Every 2 hours</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Updated action plan and log</w:t>
            </w:r>
          </w:p>
        </w:tc>
      </w:tr>
      <w:tr>
        <w:trPr/>
        <w:tc>
          <w:tcPr>
            <w:tcW w:w="2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 briefing</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Daily (if activated)</w:t>
            </w:r>
          </w:p>
        </w:tc>
        <w:tc>
          <w:tcPr>
            <w:tcW w:w="21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At activation, then every 4–6 hours</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Decisions recorded in the log</w:t>
            </w:r>
          </w:p>
        </w:tc>
      </w:tr>
      <w:tr>
        <w:trPr/>
        <w:tc>
          <w:tcPr>
            <w:tcW w:w="2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Situation update (Appendix A)</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Twice daily</w:t>
            </w:r>
          </w:p>
        </w:tc>
        <w:tc>
          <w:tcPr>
            <w:tcW w:w="21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After each SEMT briefing</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Coordinator</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Written update to distribution list</w:t>
            </w:r>
          </w:p>
        </w:tc>
      </w:tr>
      <w:tr>
        <w:trPr/>
        <w:tc>
          <w:tcPr>
            <w:tcW w:w="2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Board update</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As needed</w:t>
            </w:r>
          </w:p>
        </w:tc>
        <w:tc>
          <w:tcPr>
            <w:tcW w:w="21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Daily</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Board briefing note</w:t>
            </w:r>
          </w:p>
        </w:tc>
      </w:tr>
      <w:tr>
        <w:trPr/>
        <w:tc>
          <w:tcPr>
            <w:tcW w:w="2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All-staff update</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If staff affected</w:t>
            </w:r>
          </w:p>
        </w:tc>
        <w:tc>
          <w:tcPr>
            <w:tcW w:w="21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At least daily</w:t>
            </w:r>
          </w:p>
        </w:tc>
        <w:tc>
          <w:tcPr>
            <w:tcW w:w="15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Communications</w:t>
            </w:r>
          </w:p>
        </w:tc>
        <w:tc>
          <w:tcPr>
            <w:tcW w:w="20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Approved intranet / email / SMS message</w:t>
            </w:r>
          </w:p>
        </w:tc>
      </w:tr>
    </w:tbl>
    <w:p>
      <w:pPr>
        <w:pStyle w:val="Normal"/>
        <w:spacing w:before="0" w:after="80"/>
        <w:rPr/>
      </w:pPr>
      <w:r>
        <w:rPr/>
      </w:r>
    </w:p>
    <w:p>
      <w:pPr>
        <w:pStyle w:val="Heading3"/>
        <w:rPr/>
      </w:pPr>
      <w:r>
        <w:rPr/>
        <w:t>SEMT briefing format (keep to 15 minutes)</w:t>
      </w:r>
    </w:p>
    <w:p>
      <w:pPr>
        <w:pStyle w:val="ListParagraph"/>
        <w:numPr>
          <w:ilvl w:val="0"/>
          <w:numId w:val="97"/>
        </w:numPr>
        <w:spacing w:before="0" w:after="60"/>
        <w:rPr/>
      </w:pPr>
      <w:r>
        <w:rPr>
          <w:rFonts w:eastAsia="Calibri" w:cs="Calibri"/>
          <w:b/>
          <w:bCs/>
          <w:sz w:val="21"/>
          <w:szCs w:val="21"/>
        </w:rPr>
        <w:t>Situation</w:t>
      </w:r>
      <w:r>
        <w:rPr>
          <w:rFonts w:eastAsia="Calibri" w:cs="Calibri"/>
          <w:sz w:val="21"/>
          <w:szCs w:val="21"/>
        </w:rPr>
        <w:t>: what has happened, current category, what is affected.</w:t>
      </w:r>
    </w:p>
    <w:p>
      <w:pPr>
        <w:pStyle w:val="ListParagraph"/>
        <w:numPr>
          <w:ilvl w:val="0"/>
          <w:numId w:val="98"/>
        </w:numPr>
        <w:spacing w:before="0" w:after="60"/>
        <w:rPr/>
      </w:pPr>
      <w:r>
        <w:rPr>
          <w:rFonts w:eastAsia="Calibri" w:cs="Calibri"/>
          <w:b/>
          <w:bCs/>
          <w:sz w:val="21"/>
          <w:szCs w:val="21"/>
        </w:rPr>
        <w:t>Impact</w:t>
      </w:r>
      <w:r>
        <w:rPr>
          <w:rFonts w:eastAsia="Calibri" w:cs="Calibri"/>
          <w:sz w:val="21"/>
          <w:szCs w:val="21"/>
        </w:rPr>
        <w:t>: on patients, products, operations, data, finances and reputation.</w:t>
      </w:r>
    </w:p>
    <w:p>
      <w:pPr>
        <w:pStyle w:val="ListParagraph"/>
        <w:numPr>
          <w:ilvl w:val="0"/>
          <w:numId w:val="99"/>
        </w:numPr>
        <w:spacing w:before="0" w:after="60"/>
        <w:rPr/>
      </w:pPr>
      <w:r>
        <w:rPr>
          <w:rFonts w:eastAsia="Calibri" w:cs="Calibri"/>
          <w:b/>
          <w:bCs/>
          <w:sz w:val="21"/>
          <w:szCs w:val="21"/>
        </w:rPr>
        <w:t>Actions</w:t>
      </w:r>
      <w:r>
        <w:rPr>
          <w:rFonts w:eastAsia="Calibri" w:cs="Calibri"/>
          <w:sz w:val="21"/>
          <w:szCs w:val="21"/>
        </w:rPr>
        <w:t>: what has been done and what is planned next.</w:t>
      </w:r>
    </w:p>
    <w:p>
      <w:pPr>
        <w:pStyle w:val="ListParagraph"/>
        <w:numPr>
          <w:ilvl w:val="0"/>
          <w:numId w:val="100"/>
        </w:numPr>
        <w:spacing w:before="0" w:after="60"/>
        <w:rPr/>
      </w:pPr>
      <w:r>
        <w:rPr>
          <w:rFonts w:eastAsia="Calibri" w:cs="Calibri"/>
          <w:b/>
          <w:bCs/>
          <w:sz w:val="21"/>
          <w:szCs w:val="21"/>
        </w:rPr>
        <w:t>Decisions needed</w:t>
      </w:r>
      <w:r>
        <w:rPr>
          <w:rFonts w:eastAsia="Calibri" w:cs="Calibri"/>
          <w:sz w:val="21"/>
          <w:szCs w:val="21"/>
        </w:rPr>
        <w:t>: options, recommendation and deadline for each decision.</w:t>
      </w:r>
    </w:p>
    <w:p>
      <w:pPr>
        <w:pStyle w:val="ListParagraph"/>
        <w:numPr>
          <w:ilvl w:val="0"/>
          <w:numId w:val="101"/>
        </w:numPr>
        <w:spacing w:before="0" w:after="60"/>
        <w:rPr/>
      </w:pPr>
      <w:r>
        <w:rPr>
          <w:rFonts w:eastAsia="Calibri" w:cs="Calibri"/>
          <w:b/>
          <w:bCs/>
          <w:sz w:val="21"/>
          <w:szCs w:val="21"/>
        </w:rPr>
        <w:t>Stakeholders</w:t>
      </w:r>
      <w:r>
        <w:rPr>
          <w:rFonts w:eastAsia="Calibri" w:cs="Calibri"/>
          <w:sz w:val="21"/>
          <w:szCs w:val="21"/>
        </w:rPr>
        <w:t>: notifications made and pending, media and regulator interest.</w:t>
      </w:r>
    </w:p>
    <w:p>
      <w:pPr>
        <w:pStyle w:val="ListParagraph"/>
        <w:numPr>
          <w:ilvl w:val="0"/>
          <w:numId w:val="102"/>
        </w:numPr>
        <w:spacing w:before="0" w:after="60"/>
        <w:rPr/>
      </w:pPr>
      <w:r>
        <w:rPr>
          <w:rFonts w:eastAsia="Calibri" w:cs="Calibri"/>
          <w:b/>
          <w:bCs/>
          <w:sz w:val="21"/>
          <w:szCs w:val="21"/>
        </w:rPr>
        <w:t>Next update</w:t>
      </w:r>
      <w:r>
        <w:rPr>
          <w:rFonts w:eastAsia="Calibri" w:cs="Calibri"/>
          <w:sz w:val="21"/>
          <w:szCs w:val="21"/>
        </w:rPr>
        <w:t>: time of next briefing.</w:t>
      </w:r>
    </w:p>
    <w:p>
      <w:pPr>
        <w:pStyle w:val="Heading2"/>
        <w:rPr/>
      </w:pPr>
      <w:r>
        <w:rPr/>
        <w:t>6.3 Stakeholder Notification Matrix</w:t>
      </w:r>
    </w:p>
    <w:tbl>
      <w:tblPr>
        <w:tblW w:w="9360" w:type="dxa"/>
        <w:jc w:val="left"/>
        <w:tblInd w:w="0" w:type="dxa"/>
        <w:tblLayout w:type="fixed"/>
        <w:tblCellMar>
          <w:top w:w="60" w:type="dxa"/>
          <w:left w:w="100" w:type="dxa"/>
          <w:bottom w:w="60" w:type="dxa"/>
          <w:right w:w="100" w:type="dxa"/>
        </w:tblCellMar>
      </w:tblPr>
      <w:tblGrid>
        <w:gridCol w:w="2799"/>
        <w:gridCol w:w="3061"/>
        <w:gridCol w:w="1801"/>
        <w:gridCol w:w="1698"/>
      </w:tblGrid>
      <w:tr>
        <w:trPr>
          <w:tblHeader w:val="true"/>
        </w:trPr>
        <w:tc>
          <w:tcPr>
            <w:tcW w:w="27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Stakeholder</w:t>
            </w:r>
          </w:p>
        </w:tc>
        <w:tc>
          <w:tcPr>
            <w:tcW w:w="3061"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When engaged</w:t>
            </w:r>
          </w:p>
        </w:tc>
        <w:tc>
          <w:tcPr>
            <w:tcW w:w="1801"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Owner</w:t>
            </w:r>
          </w:p>
        </w:tc>
        <w:tc>
          <w:tcPr>
            <w:tcW w:w="16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Approval</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Employees and contractors</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When they are affected, must take action, or media interest is likely</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Communications + HR</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 (Cat 3); SEMT Chair (Cat 1–2)</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Data protection regulator (e.g. ICO / EU supervisory authority under GDPR)</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Personal data breach likely to result in risk: </w:t>
            </w:r>
            <w:r>
              <w:rPr>
                <w:rFonts w:eastAsia="Calibri" w:cs="Calibri"/>
                <w:b/>
                <w:bCs/>
                <w:sz w:val="18"/>
                <w:szCs w:val="18"/>
              </w:rPr>
              <w:t>within 72 hours</w:t>
            </w:r>
            <w:r>
              <w:rPr>
                <w:rFonts w:eastAsia="Calibri" w:cs="Calibri"/>
                <w:sz w:val="18"/>
                <w:szCs w:val="18"/>
              </w:rPr>
              <w:t xml:space="preserve"> of becoming aware</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DPO / General Counsel</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Affected individuals (patients, trial participants, employees)</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Breach likely to result in high risk to them: </w:t>
            </w:r>
            <w:r>
              <w:rPr>
                <w:rFonts w:eastAsia="Calibri" w:cs="Calibri"/>
                <w:b/>
                <w:bCs/>
                <w:sz w:val="18"/>
                <w:szCs w:val="18"/>
              </w:rPr>
              <w:t>without undue delay</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DPO + Communications</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US health data requirements (HIPAA, if applicable)</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 xml:space="preserve">Breach of protected health information: </w:t>
            </w:r>
            <w:r>
              <w:rPr>
                <w:rFonts w:eastAsia="Calibri" w:cs="Calibri"/>
                <w:b/>
                <w:bCs/>
                <w:sz w:val="18"/>
                <w:szCs w:val="18"/>
              </w:rPr>
              <w:t>within 60 days</w:t>
            </w:r>
            <w:r>
              <w:rPr>
                <w:rFonts w:eastAsia="Calibri" w:cs="Calibri"/>
                <w:sz w:val="18"/>
                <w:szCs w:val="18"/>
              </w:rPr>
              <w:t xml:space="preserve"> (HHS, individuals; media if 500+ residents of a state)</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Privacy / Legal</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Health regulators (e.g. FDA, MHRA, EMA)</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Impact on product quality, supply, clinical trial integrity or pharmacovigilance</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Head of Quality / Regulatory Affairs</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Securities regulator / investors (if listed)</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determined to be material (e.g. SEC: within 4 business days of materiality determination)</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CFO + General Counsel</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 + Board</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National cyber agency / law enforcement (e.g. CISA, FBI IC3, NCSC, police)</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Criminal activity, ransomware, or as required by law</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General Counsel</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Cyber insurer</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As soon as a potential claim is identified (check policy notice period)</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General Counsel / CFO</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Microsoft</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Suspected platform compromise; need for Microsoft Incident Response</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Suppliers, CROs, partners</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Their data or systems are affected, or they must take action</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Procurement + CISO</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w:t>
            </w:r>
          </w:p>
        </w:tc>
      </w:tr>
      <w:tr>
        <w:trPr/>
        <w:tc>
          <w:tcPr>
            <w:tcW w:w="2799"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Media and public</w:t>
            </w:r>
          </w:p>
        </w:tc>
        <w:tc>
          <w:tcPr>
            <w:tcW w:w="306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is public or will become public</w:t>
            </w:r>
          </w:p>
        </w:tc>
        <w:tc>
          <w:tcPr>
            <w:tcW w:w="1801"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Head of Communications</w:t>
            </w:r>
          </w:p>
        </w:tc>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CEO</w:t>
            </w:r>
          </w:p>
        </w:tc>
      </w:tr>
    </w:tbl>
    <w:p>
      <w:pPr>
        <w:pStyle w:val="Normal"/>
        <w:spacing w:before="0" w:after="120"/>
        <w:rPr/>
      </w:pPr>
      <w:r>
        <w:rPr>
          <w:rFonts w:eastAsia="Calibri" w:cs="Calibri"/>
          <w:i/>
          <w:iCs/>
          <w:sz w:val="18"/>
          <w:szCs w:val="18"/>
        </w:rPr>
        <w:t>Regulatory deadlines vary by jurisdiction and change over time. General Counsel confirms the applicable requirements at the start of each incident and records the deadlines in the incident log.</w:t>
      </w:r>
    </w:p>
    <w:p>
      <w:pPr>
        <w:pStyle w:val="Heading2"/>
        <w:rPr/>
      </w:pPr>
      <w:r>
        <w:rPr/>
        <w:t>6.4 Out-of-Band Communications</w:t>
      </w:r>
    </w:p>
    <w:p>
      <w:pPr>
        <w:pStyle w:val="Normal"/>
        <w:spacing w:before="0" w:after="120"/>
        <w:rPr/>
      </w:pPr>
      <w:r>
        <w:rPr>
          <w:rFonts w:eastAsia="Calibri" w:cs="Calibri"/>
          <w:sz w:val="21"/>
          <w:szCs w:val="21"/>
        </w:rPr>
        <w:t>An attacker inside Microsoft 365 may be able to read email and Teams messages about the response. For Category 1 and 2 incidents, or whenever M365 or Entra ID may be compromised:</w:t>
      </w:r>
    </w:p>
    <w:p>
      <w:pPr>
        <w:pStyle w:val="ListParagraph"/>
        <w:numPr>
          <w:ilvl w:val="0"/>
          <w:numId w:val="103"/>
        </w:numPr>
        <w:spacing w:before="0" w:after="60"/>
        <w:rPr/>
      </w:pPr>
      <w:r>
        <w:rPr>
          <w:rFonts w:eastAsia="Calibri" w:cs="Calibri"/>
          <w:sz w:val="21"/>
          <w:szCs w:val="21"/>
        </w:rPr>
        <w:t xml:space="preserve">Switch IMT and SEMT coordination to the </w:t>
      </w:r>
      <w:r>
        <w:rPr>
          <w:rFonts w:eastAsia="Calibri" w:cs="Calibri"/>
          <w:b/>
          <w:bCs/>
          <w:sz w:val="21"/>
          <w:szCs w:val="21"/>
        </w:rPr>
        <w:t>pre-agreed out-of-band channel</w:t>
      </w:r>
      <w:r>
        <w:rPr>
          <w:rFonts w:eastAsia="Calibri" w:cs="Calibri"/>
          <w:sz w:val="21"/>
          <w:szCs w:val="21"/>
        </w:rPr>
        <w:t xml:space="preserve"> (e.g. an end-to-end encrypted messaging group and a conference bridge not tied to the corporate tenant).</w:t>
      </w:r>
    </w:p>
    <w:p>
      <w:pPr>
        <w:pStyle w:val="ListParagraph"/>
        <w:numPr>
          <w:ilvl w:val="0"/>
          <w:numId w:val="104"/>
        </w:numPr>
        <w:spacing w:before="0" w:after="60"/>
        <w:rPr/>
      </w:pPr>
      <w:r>
        <w:rPr>
          <w:rFonts w:eastAsia="Calibri" w:cs="Calibri"/>
          <w:sz w:val="21"/>
          <w:szCs w:val="21"/>
        </w:rPr>
        <w:t xml:space="preserve">Use </w:t>
      </w:r>
      <w:r>
        <w:rPr>
          <w:rFonts w:eastAsia="Calibri" w:cs="Calibri"/>
          <w:b/>
          <w:bCs/>
          <w:sz w:val="21"/>
          <w:szCs w:val="21"/>
        </w:rPr>
        <w:t>phone calls</w:t>
      </w:r>
      <w:r>
        <w:rPr>
          <w:rFonts w:eastAsia="Calibri" w:cs="Calibri"/>
          <w:sz w:val="21"/>
          <w:szCs w:val="21"/>
        </w:rPr>
        <w:t xml:space="preserve"> for sensitive decisions.</w:t>
      </w:r>
    </w:p>
    <w:p>
      <w:pPr>
        <w:pStyle w:val="ListParagraph"/>
        <w:numPr>
          <w:ilvl w:val="0"/>
          <w:numId w:val="105"/>
        </w:numPr>
        <w:spacing w:before="0" w:after="60"/>
        <w:rPr/>
      </w:pPr>
      <w:r>
        <w:rPr>
          <w:rFonts w:eastAsia="Calibri" w:cs="Calibri"/>
          <w:sz w:val="21"/>
          <w:szCs w:val="21"/>
        </w:rPr>
        <w:t xml:space="preserve">Each IMT/SEMT member keeps a </w:t>
      </w:r>
      <w:r>
        <w:rPr>
          <w:rFonts w:eastAsia="Calibri" w:cs="Calibri"/>
          <w:b/>
          <w:bCs/>
          <w:sz w:val="21"/>
          <w:szCs w:val="21"/>
        </w:rPr>
        <w:t>printed copy</w:t>
      </w:r>
      <w:r>
        <w:rPr>
          <w:rFonts w:eastAsia="Calibri" w:cs="Calibri"/>
          <w:sz w:val="21"/>
          <w:szCs w:val="21"/>
        </w:rPr>
        <w:t xml:space="preserve"> of this plan and Appendix F (contacts) at home.</w:t>
      </w:r>
    </w:p>
    <w:p>
      <w:pPr>
        <w:pStyle w:val="ListParagraph"/>
        <w:numPr>
          <w:ilvl w:val="0"/>
          <w:numId w:val="106"/>
        </w:numPr>
        <w:spacing w:before="0" w:after="60"/>
        <w:rPr/>
      </w:pPr>
      <w:r>
        <w:rPr>
          <w:rFonts w:eastAsia="Calibri" w:cs="Calibri"/>
          <w:sz w:val="21"/>
          <w:szCs w:val="21"/>
        </w:rPr>
        <w:t xml:space="preserve">Maintain </w:t>
      </w:r>
      <w:r>
        <w:rPr>
          <w:rFonts w:eastAsia="Calibri" w:cs="Calibri"/>
          <w:b/>
          <w:bCs/>
          <w:sz w:val="21"/>
          <w:szCs w:val="21"/>
        </w:rPr>
        <w:t>break-glass emergency administrator accounts</w:t>
      </w:r>
      <w:r>
        <w:rPr>
          <w:rFonts w:eastAsia="Calibri" w:cs="Calibri"/>
          <w:sz w:val="21"/>
          <w:szCs w:val="21"/>
        </w:rPr>
        <w:t xml:space="preserve"> in Entra ID, excluded from normal Conditional Access, with credentials held securely and use monitored.</w:t>
      </w:r>
    </w:p>
    <w:p>
      <w:pPr>
        <w:pStyle w:val="Heading2"/>
        <w:rPr/>
      </w:pPr>
      <w:r>
        <w:rPr/>
        <w:t>6.5 Internal Communications</w:t>
      </w:r>
    </w:p>
    <w:p>
      <w:pPr>
        <w:pStyle w:val="Normal"/>
        <w:spacing w:before="0" w:after="120"/>
        <w:rPr/>
      </w:pPr>
      <w:r>
        <w:rPr>
          <w:rFonts w:eastAsia="Calibri" w:cs="Calibri"/>
          <w:sz w:val="21"/>
          <w:szCs w:val="21"/>
        </w:rPr>
        <w:t xml:space="preserve">Messages to employees answer four questions: What happened? What happens next? What do I need to do? Who do I contact? All internal messages are approved by the Head of Communications and the Incident Manager (and the SEMT Chair for Category 1–2). Staff are reminded </w:t>
      </w:r>
      <w:r>
        <w:rPr>
          <w:rFonts w:eastAsia="Calibri" w:cs="Calibri"/>
          <w:b/>
          <w:bCs/>
          <w:sz w:val="21"/>
          <w:szCs w:val="21"/>
        </w:rPr>
        <w:t>not to discuss the incident on social media or with external parties</w:t>
      </w:r>
      <w:r>
        <w:rPr>
          <w:rFonts w:eastAsia="Calibri" w:cs="Calibri"/>
          <w:sz w:val="21"/>
          <w:szCs w:val="21"/>
        </w:rPr>
        <w:t>, and to direct media inquiries to Corporate Communications.</w:t>
      </w:r>
    </w:p>
    <w:p>
      <w:pPr>
        <w:pStyle w:val="Heading2"/>
        <w:rPr/>
      </w:pPr>
      <w:r>
        <w:rPr/>
        <w:t>6.6 External Communications</w:t>
      </w:r>
    </w:p>
    <w:p>
      <w:pPr>
        <w:pStyle w:val="Normal"/>
        <w:spacing w:before="0" w:after="120"/>
        <w:rPr/>
      </w:pPr>
      <w:r>
        <w:rPr>
          <w:rFonts w:eastAsia="Calibri" w:cs="Calibri"/>
          <w:sz w:val="21"/>
          <w:szCs w:val="21"/>
        </w:rPr>
        <w:t xml:space="preserve">External messages explain what happened, which services are affected, what </w:t>
      </w:r>
      <w:r>
        <w:rPr>
          <w:rFonts w:eastAsia="Calibri" w:cs="Calibri"/>
          <w:sz w:val="21"/>
          <w:szCs w:val="21"/>
        </w:rPr>
        <w:t>SanDwane</w:t>
      </w:r>
      <w:r>
        <w:rPr>
          <w:rFonts w:eastAsia="Calibri" w:cs="Calibri"/>
          <w:sz w:val="21"/>
          <w:szCs w:val="21"/>
        </w:rPr>
        <w:t>'s is doing, when resolution is expected and what stakeholders should do. Principles:</w:t>
      </w:r>
    </w:p>
    <w:p>
      <w:pPr>
        <w:pStyle w:val="ListParagraph"/>
        <w:numPr>
          <w:ilvl w:val="0"/>
          <w:numId w:val="107"/>
        </w:numPr>
        <w:spacing w:before="0" w:after="60"/>
        <w:rPr/>
      </w:pPr>
      <w:r>
        <w:rPr>
          <w:rFonts w:eastAsia="Calibri" w:cs="Calibri"/>
          <w:b/>
          <w:bCs/>
          <w:sz w:val="21"/>
          <w:szCs w:val="21"/>
        </w:rPr>
        <w:t>One voice</w:t>
      </w:r>
      <w:r>
        <w:rPr>
          <w:rFonts w:eastAsia="Calibri" w:cs="Calibri"/>
          <w:sz w:val="21"/>
          <w:szCs w:val="21"/>
        </w:rPr>
        <w:t>: only the CEO or nominated spokesperson speaks publicly.</w:t>
      </w:r>
    </w:p>
    <w:p>
      <w:pPr>
        <w:pStyle w:val="ListParagraph"/>
        <w:numPr>
          <w:ilvl w:val="0"/>
          <w:numId w:val="108"/>
        </w:numPr>
        <w:spacing w:before="0" w:after="60"/>
        <w:rPr/>
      </w:pPr>
      <w:r>
        <w:rPr>
          <w:rFonts w:eastAsia="Calibri" w:cs="Calibri"/>
          <w:b/>
          <w:bCs/>
          <w:sz w:val="21"/>
          <w:szCs w:val="21"/>
        </w:rPr>
        <w:t>Accurate and timely</w:t>
      </w:r>
      <w:r>
        <w:rPr>
          <w:rFonts w:eastAsia="Calibri" w:cs="Calibri"/>
          <w:sz w:val="21"/>
          <w:szCs w:val="21"/>
        </w:rPr>
        <w:t>: state only confirmed facts; do not speculate about attribution or impact.</w:t>
      </w:r>
    </w:p>
    <w:p>
      <w:pPr>
        <w:pStyle w:val="ListParagraph"/>
        <w:numPr>
          <w:ilvl w:val="0"/>
          <w:numId w:val="109"/>
        </w:numPr>
        <w:spacing w:before="0" w:after="60"/>
        <w:rPr/>
      </w:pPr>
      <w:r>
        <w:rPr>
          <w:rFonts w:eastAsia="Calibri" w:cs="Calibri"/>
          <w:b/>
          <w:bCs/>
          <w:sz w:val="21"/>
          <w:szCs w:val="21"/>
        </w:rPr>
        <w:t>Legally reviewed</w:t>
      </w:r>
      <w:r>
        <w:rPr>
          <w:rFonts w:eastAsia="Calibri" w:cs="Calibri"/>
          <w:sz w:val="21"/>
          <w:szCs w:val="21"/>
        </w:rPr>
        <w:t>: General Counsel reviews all external statements before CEO approval.</w:t>
      </w:r>
    </w:p>
    <w:p>
      <w:pPr>
        <w:pStyle w:val="ListParagraph"/>
        <w:numPr>
          <w:ilvl w:val="0"/>
          <w:numId w:val="110"/>
        </w:numPr>
        <w:spacing w:before="0" w:after="60"/>
        <w:rPr/>
      </w:pPr>
      <w:r>
        <w:rPr>
          <w:rFonts w:eastAsia="Calibri" w:cs="Calibri"/>
          <w:b/>
          <w:bCs/>
          <w:sz w:val="21"/>
          <w:szCs w:val="21"/>
        </w:rPr>
        <w:t>Prepared in advance</w:t>
      </w:r>
      <w:r>
        <w:rPr>
          <w:rFonts w:eastAsia="Calibri" w:cs="Calibri"/>
          <w:sz w:val="21"/>
          <w:szCs w:val="21"/>
        </w:rPr>
        <w:t>: holding statements for ransomware, data breach and service outage are kept ready for rapid adaptation.</w:t>
      </w:r>
    </w:p>
    <w:p>
      <w:pPr>
        <w:pStyle w:val="Normal"/>
        <w:rPr/>
      </w:pPr>
      <w:r>
        <w:rPr/>
      </w:r>
      <w:r>
        <w:br w:type="page"/>
      </w:r>
    </w:p>
    <w:p>
      <w:pPr>
        <w:pStyle w:val="Heading1"/>
        <w:spacing w:before="0" w:after="160"/>
        <w:rPr/>
      </w:pPr>
      <w:r>
        <w:rPr/>
        <w:t>Appendix A. Situation Update (template)</w:t>
      </w:r>
    </w:p>
    <w:tbl>
      <w:tblPr>
        <w:tblW w:w="9360" w:type="dxa"/>
        <w:jc w:val="left"/>
        <w:tblInd w:w="0" w:type="dxa"/>
        <w:tblLayout w:type="fixed"/>
        <w:tblCellMar>
          <w:top w:w="60" w:type="dxa"/>
          <w:left w:w="100" w:type="dxa"/>
          <w:bottom w:w="60" w:type="dxa"/>
          <w:right w:w="100" w:type="dxa"/>
        </w:tblCellMar>
      </w:tblPr>
      <w:tblGrid>
        <w:gridCol w:w="3120"/>
        <w:gridCol w:w="278"/>
        <w:gridCol w:w="2842"/>
        <w:gridCol w:w="3120"/>
      </w:tblGrid>
      <w:tr>
        <w:trPr>
          <w:tblHeader w:val="true"/>
        </w:trPr>
        <w:tc>
          <w:tcPr>
            <w:tcW w:w="312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DATE OF ENTRY:</w:t>
            </w:r>
          </w:p>
        </w:tc>
        <w:tc>
          <w:tcPr>
            <w:tcW w:w="3120"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TIME OF ENTRY:</w:t>
            </w:r>
          </w:p>
        </w:tc>
        <w:tc>
          <w:tcPr>
            <w:tcW w:w="312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AUTHOR:</w:t>
            </w:r>
          </w:p>
        </w:tc>
      </w:tr>
      <w:tr>
        <w:trPr/>
        <w:tc>
          <w:tcPr>
            <w:tcW w:w="312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3120"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312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DATE AND TIME INCIDENT DETECTED</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CURRENT STATUS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New / In Progress / Resolved</w:t>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INCIDENT TYPE</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INCIDENT CATEGORY</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Category 4 Event / Category 3 Incident / Category 2 Significant / Category 1 Crisis</w:t>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SCOPE: affected networks, systems, applications and data (note changes since last update)</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IMPACT: affected stakeholders (note changes)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SEVERITY: impact on business, patients, products and regulatory obligations (note changes)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DECISIONS REQUIRED FROM SEMT</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NOTIFICATIONS ACTIONED / PENDING (incl. regulatory deadlines)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ADDITIONAL NOTES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INCIDENT MANAGER CONTACT DETAILS</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8" w:type="dxa"/>
            <w:gridSpan w:val="2"/>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DATE AND TIME OF NEXT UPDATE</w:t>
            </w:r>
          </w:p>
        </w:tc>
        <w:tc>
          <w:tcPr>
            <w:tcW w:w="5962" w:type="dxa"/>
            <w:gridSpan w:val="2"/>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rPr/>
      </w:pPr>
      <w:r>
        <w:rPr/>
      </w:r>
      <w:r>
        <w:br w:type="page"/>
      </w:r>
    </w:p>
    <w:p>
      <w:pPr>
        <w:pStyle w:val="Heading1"/>
        <w:spacing w:before="0" w:after="160"/>
        <w:rPr/>
      </w:pPr>
      <w:r>
        <w:rPr/>
        <w:t>Appendix B. Incident Log (template)</w:t>
      </w:r>
    </w:p>
    <w:tbl>
      <w:tblPr>
        <w:tblW w:w="9360" w:type="dxa"/>
        <w:jc w:val="left"/>
        <w:tblInd w:w="0" w:type="dxa"/>
        <w:tblLayout w:type="fixed"/>
        <w:tblCellMar>
          <w:top w:w="60" w:type="dxa"/>
          <w:left w:w="100" w:type="dxa"/>
          <w:bottom w:w="60" w:type="dxa"/>
          <w:right w:w="100" w:type="dxa"/>
        </w:tblCellMar>
      </w:tblPr>
      <w:tblGrid>
        <w:gridCol w:w="1698"/>
        <w:gridCol w:w="1502"/>
        <w:gridCol w:w="6160"/>
      </w:tblGrid>
      <w:tr>
        <w:trPr>
          <w:tblHeader w:val="true"/>
        </w:trPr>
        <w:tc>
          <w:tcPr>
            <w:tcW w:w="16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DATE / TIME</w:t>
            </w:r>
          </w:p>
        </w:tc>
        <w:tc>
          <w:tcPr>
            <w:tcW w:w="15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AUTHOR</w:t>
            </w:r>
          </w:p>
        </w:tc>
        <w:tc>
          <w:tcPr>
            <w:tcW w:w="61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NOTES (facts, decisions, decision maker and rationale)</w:t>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Start time</w:t>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Start of incident</w:t>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6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6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rPr/>
      </w:pPr>
      <w:r>
        <w:rPr/>
      </w:r>
      <w:r>
        <w:br w:type="page"/>
      </w:r>
    </w:p>
    <w:p>
      <w:pPr>
        <w:pStyle w:val="Heading1"/>
        <w:spacing w:before="0" w:after="160"/>
        <w:rPr/>
      </w:pPr>
      <w:r>
        <w:rPr/>
        <w:t>Appendix C. Resolution Action Plan (template)</w:t>
      </w:r>
    </w:p>
    <w:tbl>
      <w:tblPr>
        <w:tblW w:w="9360" w:type="dxa"/>
        <w:jc w:val="left"/>
        <w:tblInd w:w="0" w:type="dxa"/>
        <w:tblLayout w:type="fixed"/>
        <w:tblCellMar>
          <w:top w:w="60" w:type="dxa"/>
          <w:left w:w="100" w:type="dxa"/>
          <w:bottom w:w="60" w:type="dxa"/>
          <w:right w:w="100" w:type="dxa"/>
        </w:tblCellMar>
      </w:tblPr>
      <w:tblGrid>
        <w:gridCol w:w="1500"/>
        <w:gridCol w:w="1998"/>
        <w:gridCol w:w="2862"/>
        <w:gridCol w:w="1498"/>
        <w:gridCol w:w="1502"/>
      </w:tblGrid>
      <w:tr>
        <w:trPr>
          <w:tblHeader w:val="true"/>
        </w:trPr>
        <w:tc>
          <w:tcPr>
            <w:tcW w:w="15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DATE AND TIME</w:t>
            </w:r>
          </w:p>
        </w:tc>
        <w:tc>
          <w:tcPr>
            <w:tcW w:w="19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CATEGORY (Contain / Eradicate / Recover / Communicate)</w:t>
            </w:r>
          </w:p>
        </w:tc>
        <w:tc>
          <w:tcPr>
            <w:tcW w:w="28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ACTION</w:t>
            </w:r>
          </w:p>
        </w:tc>
        <w:tc>
          <w:tcPr>
            <w:tcW w:w="14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ACTION OWNER</w:t>
            </w:r>
          </w:p>
        </w:tc>
        <w:tc>
          <w:tcPr>
            <w:tcW w:w="150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STATUS (Unallocated / In Progress / Closed)</w:t>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5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4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50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rPr/>
      </w:pPr>
      <w:r>
        <w:rPr/>
      </w:r>
      <w:r>
        <w:br w:type="page"/>
      </w:r>
    </w:p>
    <w:p>
      <w:pPr>
        <w:pStyle w:val="Heading1"/>
        <w:spacing w:before="0" w:after="160"/>
        <w:rPr/>
      </w:pPr>
      <w:r>
        <w:rPr/>
        <w:t>Appendix D. Evidence Register (template)</w:t>
      </w:r>
    </w:p>
    <w:tbl>
      <w:tblPr>
        <w:tblW w:w="9360" w:type="dxa"/>
        <w:jc w:val="left"/>
        <w:tblInd w:w="0" w:type="dxa"/>
        <w:tblLayout w:type="fixed"/>
        <w:tblCellMar>
          <w:top w:w="60" w:type="dxa"/>
          <w:left w:w="100" w:type="dxa"/>
          <w:bottom w:w="60" w:type="dxa"/>
          <w:right w:w="100" w:type="dxa"/>
        </w:tblCellMar>
      </w:tblPr>
      <w:tblGrid>
        <w:gridCol w:w="1798"/>
        <w:gridCol w:w="1700"/>
        <w:gridCol w:w="2262"/>
        <w:gridCol w:w="1800"/>
        <w:gridCol w:w="1800"/>
      </w:tblGrid>
      <w:tr>
        <w:trPr>
          <w:tblHeader w:val="true"/>
        </w:trPr>
        <w:tc>
          <w:tcPr>
            <w:tcW w:w="17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DATE, TIME AND LOCATION OF COLLECTION</w:t>
            </w:r>
          </w:p>
        </w:tc>
        <w:tc>
          <w:tcPr>
            <w:tcW w:w="17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COLLECTED BY (name, title, contact)</w:t>
            </w:r>
          </w:p>
        </w:tc>
        <w:tc>
          <w:tcPr>
            <w:tcW w:w="22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ITEM DETAILS (description, hostname, serial, IP/MAC, hash value)</w:t>
            </w:r>
          </w:p>
        </w:tc>
        <w:tc>
          <w:tcPr>
            <w:tcW w:w="18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STORAGE LOCATION AND LABEL NUMBER</w:t>
            </w:r>
          </w:p>
        </w:tc>
        <w:tc>
          <w:tcPr>
            <w:tcW w:w="18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ACCESS (date, time, person and rationale)</w:t>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17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7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2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1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rPr/>
      </w:pPr>
      <w:r>
        <w:rPr/>
      </w:r>
      <w:r>
        <w:br w:type="page"/>
      </w:r>
    </w:p>
    <w:p>
      <w:pPr>
        <w:pStyle w:val="Heading1"/>
        <w:spacing w:before="0" w:after="160"/>
        <w:rPr/>
      </w:pPr>
      <w:r>
        <w:rPr/>
        <w:t>Appendix E. Critical Assets and Environment</w:t>
      </w:r>
    </w:p>
    <w:p>
      <w:pPr>
        <w:pStyle w:val="Normal"/>
        <w:spacing w:before="0" w:after="120"/>
        <w:rPr/>
      </w:pPr>
      <w:r>
        <w:rPr>
          <w:rFonts w:eastAsia="Calibri" w:cs="Calibri"/>
          <w:i/>
          <w:iCs/>
          <w:sz w:val="21"/>
          <w:szCs w:val="21"/>
        </w:rPr>
        <w:t>Populate and verify quarterly. Store a copy outside the Microsoft 365 tenant.</w:t>
      </w:r>
    </w:p>
    <w:p>
      <w:pPr>
        <w:pStyle w:val="Heading3"/>
        <w:rPr/>
      </w:pPr>
      <w:r>
        <w:rPr/>
        <w:t>Identity and collaboration (Microsoft 365)</w:t>
      </w:r>
    </w:p>
    <w:tbl>
      <w:tblPr>
        <w:tblW w:w="9360" w:type="dxa"/>
        <w:jc w:val="left"/>
        <w:tblInd w:w="0" w:type="dxa"/>
        <w:tblLayout w:type="fixed"/>
        <w:tblCellMar>
          <w:top w:w="60" w:type="dxa"/>
          <w:left w:w="100" w:type="dxa"/>
          <w:bottom w:w="60" w:type="dxa"/>
          <w:right w:w="100" w:type="dxa"/>
        </w:tblCellMar>
      </w:tblPr>
      <w:tblGrid>
        <w:gridCol w:w="3399"/>
        <w:gridCol w:w="5960"/>
      </w:tblGrid>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MICROSOFT 365 TENANT / PRIMARY DOMAINS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ENTRA ID: GLOBAL ADMINS, BREAK-GLASS ACCOUNTS (location of credentials)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SHAREPOINT: CRITICAL SITES (R&amp;D, Clinical, Pharmacovigilance, Regulatory, Finance) AND OWNERS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EXCHANGE ONLINE / TEAMS: KEY CONFIGURATION AND LOG SOURCES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LOG RETENTION: PURVIEW AUDIT, ENTRA ID, DEFENDER, SENTINEL</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Heading3"/>
        <w:rPr/>
      </w:pPr>
      <w:r>
        <w:rPr/>
        <w:t>Microsoft Azure</w:t>
      </w:r>
    </w:p>
    <w:tbl>
      <w:tblPr>
        <w:tblW w:w="9360" w:type="dxa"/>
        <w:jc w:val="left"/>
        <w:tblInd w:w="0" w:type="dxa"/>
        <w:tblLayout w:type="fixed"/>
        <w:tblCellMar>
          <w:top w:w="60" w:type="dxa"/>
          <w:left w:w="100" w:type="dxa"/>
          <w:bottom w:w="60" w:type="dxa"/>
          <w:right w:w="100" w:type="dxa"/>
        </w:tblCellMar>
      </w:tblPr>
      <w:tblGrid>
        <w:gridCol w:w="3399"/>
        <w:gridCol w:w="5960"/>
      </w:tblGrid>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SUBSCRIPTIONS, MANAGEMENT GROUPS AND OWNERS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CRITICAL WORKLOADS (applications, databases, storage) AND RTO / RPO</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KEY VAULTS AND SECRETS ROTATION PROCEDURE</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NETWORK (VNets, firewalls, VPN / ExpressRoute) AND LOGS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Heading3"/>
        <w:rPr/>
      </w:pPr>
      <w:r>
        <w:rPr/>
        <w:t>Security tooling</w:t>
      </w:r>
    </w:p>
    <w:tbl>
      <w:tblPr>
        <w:tblW w:w="9360" w:type="dxa"/>
        <w:jc w:val="left"/>
        <w:tblInd w:w="0" w:type="dxa"/>
        <w:tblLayout w:type="fixed"/>
        <w:tblCellMar>
          <w:top w:w="60" w:type="dxa"/>
          <w:left w:w="100" w:type="dxa"/>
          <w:bottom w:w="60" w:type="dxa"/>
          <w:right w:w="100" w:type="dxa"/>
        </w:tblCellMar>
      </w:tblPr>
      <w:tblGrid>
        <w:gridCol w:w="3399"/>
        <w:gridCol w:w="5960"/>
      </w:tblGrid>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MICROSOFT DEFENDER XDR / DEFENDER FOR CLOUD</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MICROSOFT SENTINEL WORKSPACE</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MICROSOFT PURVIEW (DLP, INSIDER RISK, AUDIT, eDISCOVERY)</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ENDPOINT MANAGEMENT (Intune)</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Heading3"/>
        <w:rPr/>
      </w:pPr>
      <w:r>
        <w:rPr/>
        <w:t>Operations, backup and recovery</w:t>
      </w:r>
    </w:p>
    <w:tbl>
      <w:tblPr>
        <w:tblW w:w="9360" w:type="dxa"/>
        <w:jc w:val="left"/>
        <w:tblInd w:w="0" w:type="dxa"/>
        <w:tblLayout w:type="fixed"/>
        <w:tblCellMar>
          <w:top w:w="60" w:type="dxa"/>
          <w:left w:w="100" w:type="dxa"/>
          <w:bottom w:w="60" w:type="dxa"/>
          <w:right w:w="100" w:type="dxa"/>
        </w:tblCellMar>
      </w:tblPr>
      <w:tblGrid>
        <w:gridCol w:w="3399"/>
        <w:gridCol w:w="5960"/>
      </w:tblGrid>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GxP / MANUFACTURING / LABORATORY SYSTEMS AND VALIDATION OWNERS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BACKUP SOLUTION, IMMUTABLE COPIES, LOCATION AND RESTORE TIMES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DISASTER RECOVERY: HIGH AVAILABILITY (Y/N), REQUIRED UPTIME, RETURN TO OPERATION (hrs)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3399"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sz w:val="18"/>
                <w:szCs w:val="18"/>
              </w:rPr>
              <w:t>CRITICAL THIRD PARTIES / CLOUD PROVIDERS AND SLAs</w:t>
            </w:r>
          </w:p>
        </w:tc>
        <w:tc>
          <w:tcPr>
            <w:tcW w:w="59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rPr/>
      </w:pPr>
      <w:r>
        <w:rPr/>
      </w:r>
      <w:r>
        <w:br w:type="page"/>
      </w:r>
    </w:p>
    <w:p>
      <w:pPr>
        <w:pStyle w:val="Heading1"/>
        <w:spacing w:before="0" w:after="160"/>
        <w:rPr/>
      </w:pPr>
      <w:r>
        <w:rPr/>
        <w:t>Appendix F. Key Contacts</w:t>
      </w:r>
    </w:p>
    <w:p>
      <w:pPr>
        <w:pStyle w:val="Normal"/>
        <w:spacing w:before="0" w:after="120"/>
        <w:rPr/>
      </w:pPr>
      <w:r>
        <w:rPr>
          <w:rFonts w:eastAsia="Calibri" w:cs="Calibri"/>
          <w:i/>
          <w:iCs/>
          <w:sz w:val="21"/>
          <w:szCs w:val="21"/>
        </w:rPr>
        <w:t>Primary and backup contacts for every IMT and SEMT role. Keep a printed copy off-site.</w:t>
      </w:r>
    </w:p>
    <w:tbl>
      <w:tblPr>
        <w:tblW w:w="9360" w:type="dxa"/>
        <w:jc w:val="left"/>
        <w:tblInd w:w="0" w:type="dxa"/>
        <w:tblLayout w:type="fixed"/>
        <w:tblCellMar>
          <w:top w:w="60" w:type="dxa"/>
          <w:left w:w="100" w:type="dxa"/>
          <w:bottom w:w="60" w:type="dxa"/>
          <w:right w:w="100" w:type="dxa"/>
        </w:tblCellMar>
      </w:tblPr>
      <w:tblGrid>
        <w:gridCol w:w="2998"/>
        <w:gridCol w:w="3562"/>
        <w:gridCol w:w="2800"/>
      </w:tblGrid>
      <w:tr>
        <w:trPr>
          <w:tblHeader w:val="true"/>
        </w:trPr>
        <w:tc>
          <w:tcPr>
            <w:tcW w:w="2998"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Role</w:t>
            </w:r>
          </w:p>
        </w:tc>
        <w:tc>
          <w:tcPr>
            <w:tcW w:w="3562"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Primary (name / mobile / personal email)</w:t>
            </w:r>
          </w:p>
        </w:tc>
        <w:tc>
          <w:tcPr>
            <w:tcW w:w="28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Backup (name / mobile)</w:t>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SEMT Chair: CEO</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Deputy Chair: CIO</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CISO</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General Counsel</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CFO</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CMO / Head of Quality</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COO</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Head of Communications</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Chief People Officer</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Incident Manager</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DPO / Privacy Lead</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Security Operations Lead</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r>
        <w:trPr/>
        <w:tc>
          <w:tcPr>
            <w:tcW w:w="2998"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IMT Coordinator</w:t>
            </w:r>
          </w:p>
        </w:tc>
        <w:tc>
          <w:tcPr>
            <w:tcW w:w="3562"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c>
          <w:tcPr>
            <w:tcW w:w="28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
          </w:p>
        </w:tc>
      </w:tr>
    </w:tbl>
    <w:p>
      <w:pPr>
        <w:pStyle w:val="Normal"/>
        <w:spacing w:before="0" w:after="80"/>
        <w:rPr/>
      </w:pPr>
      <w:r>
        <w:rPr/>
      </w:r>
    </w:p>
    <w:tbl>
      <w:tblPr>
        <w:tblW w:w="9360" w:type="dxa"/>
        <w:jc w:val="left"/>
        <w:tblInd w:w="0" w:type="dxa"/>
        <w:tblLayout w:type="fixed"/>
        <w:tblCellMar>
          <w:top w:w="60" w:type="dxa"/>
          <w:left w:w="100" w:type="dxa"/>
          <w:bottom w:w="60" w:type="dxa"/>
          <w:right w:w="100" w:type="dxa"/>
        </w:tblCellMar>
      </w:tblPr>
      <w:tblGrid>
        <w:gridCol w:w="3200"/>
        <w:gridCol w:w="3160"/>
        <w:gridCol w:w="3000"/>
      </w:tblGrid>
      <w:tr>
        <w:trPr>
          <w:tblHeader w:val="true"/>
        </w:trPr>
        <w:tc>
          <w:tcPr>
            <w:tcW w:w="32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External party</w:t>
            </w:r>
          </w:p>
        </w:tc>
        <w:tc>
          <w:tcPr>
            <w:tcW w:w="316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Contact</w:t>
            </w:r>
          </w:p>
        </w:tc>
        <w:tc>
          <w:tcPr>
            <w:tcW w:w="3000" w:type="dxa"/>
            <w:tcBorders>
              <w:top w:val="single" w:sz="4" w:space="0" w:color="8EA9C8"/>
              <w:left w:val="single" w:sz="4" w:space="0" w:color="8EA9C8"/>
              <w:bottom w:val="single" w:sz="4" w:space="0" w:color="8EA9C8"/>
              <w:right w:val="single" w:sz="4" w:space="0" w:color="8EA9C8"/>
            </w:tcBorders>
            <w:shd w:fill="C5D9F1" w:val="clear"/>
          </w:tcPr>
          <w:p>
            <w:pPr>
              <w:pStyle w:val="Normal"/>
              <w:spacing w:before="0" w:after="40"/>
              <w:rPr/>
            </w:pPr>
            <w:r>
              <w:rPr>
                <w:rFonts w:eastAsia="Calibri" w:cs="Calibri"/>
                <w:b/>
                <w:bCs/>
                <w:sz w:val="18"/>
                <w:szCs w:val="18"/>
              </w:rPr>
              <w:t>Service</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Retained incident response / forensics provider</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[24/7 number, retainer ID]</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Forensics, containment, surge support</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Microsoft Unified Support / Microsoft Incident Response</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[case number process]</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Platform support and investigation</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Cyber insurer and breach coach</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[policy number, hotline]</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Claims, legal panel, PR support</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External legal counsel</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[contact]</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Privileged investigation, regulatory advice</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Law enforcement / national cyber agency</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[e.g. FBI field office / IC3, CISA (report@cisa.gov), NCSC]</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Reporting and assistance</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Data protection regulator</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[regulator contact / portal]</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Breach notification</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Health regulator</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[FDA / MHRA / EMA contact]</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Product and trial impact notification</w:t>
            </w:r>
          </w:p>
        </w:tc>
      </w:tr>
      <w:tr>
        <w:trPr/>
        <w:tc>
          <w:tcPr>
            <w:tcW w:w="32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PR / crisis communications agency</w:t>
            </w:r>
          </w:p>
        </w:tc>
        <w:tc>
          <w:tcPr>
            <w:tcW w:w="316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[contact]</w:t>
            </w:r>
          </w:p>
        </w:tc>
        <w:tc>
          <w:tcPr>
            <w:tcW w:w="3000" w:type="dxa"/>
            <w:tcBorders>
              <w:top w:val="single" w:sz="4" w:space="0" w:color="8EA9C8"/>
              <w:left w:val="single" w:sz="4" w:space="0" w:color="8EA9C8"/>
              <w:bottom w:val="single" w:sz="4" w:space="0" w:color="8EA9C8"/>
              <w:right w:val="single" w:sz="4" w:space="0" w:color="8EA9C8"/>
            </w:tcBorders>
          </w:tcPr>
          <w:p>
            <w:pPr>
              <w:pStyle w:val="Normal"/>
              <w:spacing w:before="0" w:after="40"/>
              <w:rPr/>
            </w:pPr>
            <w:r>
              <w:rPr>
                <w:rFonts w:eastAsia="Calibri" w:cs="Calibri"/>
                <w:sz w:val="18"/>
                <w:szCs w:val="18"/>
              </w:rPr>
              <w:t>Media handling</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300" w:footer="708" w:bottom="1200"/>
      <w:pgNumType w:fmt="decimal"/>
      <w:formProt w:val="false"/>
      <w:titlePg/>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595959"/>
        <w:sz w:val="16"/>
        <w:szCs w:val="16"/>
      </w:rPr>
      <w:t xml:space="preserve">CONFIDENTIAL – INTERNAL USE ONLY   |   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bCs/>
        <w:color w:val="C00000"/>
        <w:sz w:val="16"/>
        <w:szCs w:val="16"/>
      </w:rPr>
      <w:t>CONFIDENTIAL –</w:t>
    </w:r>
    <w:r>
      <w:rPr>
        <w:rFonts w:eastAsia="Calibri" w:cs="Calibri"/>
        <w:b/>
        <w:bCs/>
        <w:color w:val="C00000"/>
        <w:sz w:val="16"/>
        <w:szCs w:val="16"/>
      </w:rPr>
      <w:t>SanDwane’</w:t>
    </w:r>
    <w:r>
      <w:rPr>
        <w:rFonts w:eastAsia="Calibri" w:cs="Calibri"/>
        <w:b/>
        <w:bCs/>
        <w:color w:val="C00000"/>
        <w:sz w:val="16"/>
        <w:szCs w:val="16"/>
      </w:rPr>
      <w:t>s Cyber Incident Response Plan v1.0 (10/2026)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360" w:hanging="24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360" w:hanging="30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3"/>
  </w:num>
  <w:num w:numId="94">
    <w:abstractNumId w:val="3"/>
  </w:num>
  <w:num w:numId="95">
    <w:abstractNumId w:val="3"/>
  </w:num>
  <w:num w:numId="96">
    <w:abstractNumId w:val="3"/>
  </w:num>
  <w:num w:numId="97">
    <w:abstractNumId w:val="4"/>
    <w:lvlOverride w:ilvl="0">
      <w:startOverride w:val="1"/>
    </w:lvlOverride>
  </w:num>
  <w:num w:numId="98">
    <w:abstractNumId w:val="4"/>
  </w:num>
  <w:num w:numId="99">
    <w:abstractNumId w:val="4"/>
  </w:num>
  <w:num w:numId="100">
    <w:abstractNumId w:val="4"/>
  </w:num>
  <w:num w:numId="101">
    <w:abstractNumId w:val="4"/>
  </w:num>
  <w:num w:numId="102">
    <w:abstractNumId w:val="4"/>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Normal"/>
    <w:next w:val="Normal"/>
    <w:qFormat/>
    <w:pPr>
      <w:spacing w:before="240" w:after="160"/>
      <w:outlineLvl w:val="0"/>
    </w:pPr>
    <w:rPr>
      <w:rFonts w:ascii="Calibri Light" w:hAnsi="Calibri Light" w:eastAsia="Calibri Light" w:cs="Calibri Light"/>
      <w:color w:val="1F4E79"/>
      <w:sz w:val="34"/>
      <w:szCs w:val="34"/>
    </w:rPr>
  </w:style>
  <w:style w:type="paragraph" w:styleId="Heading2">
    <w:name w:val="Heading 2"/>
    <w:basedOn w:val="Normal"/>
    <w:next w:val="Normal"/>
    <w:qFormat/>
    <w:pPr>
      <w:spacing w:before="240" w:after="100"/>
      <w:outlineLvl w:val="1"/>
    </w:pPr>
    <w:rPr>
      <w:rFonts w:ascii="Calibri Light" w:hAnsi="Calibri Light" w:eastAsia="Calibri Light" w:cs="Calibri Light"/>
      <w:color w:val="2E75B6"/>
      <w:sz w:val="26"/>
      <w:szCs w:val="26"/>
    </w:rPr>
  </w:style>
  <w:style w:type="paragraph" w:styleId="Heading3">
    <w:name w:val="Heading 3"/>
    <w:basedOn w:val="Normal"/>
    <w:next w:val="Normal"/>
    <w:qFormat/>
    <w:pPr>
      <w:spacing w:before="160" w:after="80"/>
      <w:outlineLvl w:val="2"/>
    </w:pPr>
    <w:rPr>
      <w:b/>
      <w:bCs/>
      <w:color w:val="1F4E79"/>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23</Pages>
  <Words>4745</Words>
  <Characters>28123</Characters>
  <CharactersWithSpaces>32087</CharactersWithSpaces>
  <Paragraphs>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2026-10-28T18:52:05Z</dcterms:created>
  <dc:creator>Carmerek's Information Security</dc:creator>
  <dc:description/>
  <dc:language>en-US</dc:language>
  <cp:lastModifiedBy/>
  <dcterms:modified xsi:type="dcterms:W3CDTF">2026-10-28T15:39:50Z</dcterms:modified>
  <cp:revision>3</cp:revision>
  <dc:subject/>
  <dc:title>Carmerek's Enterprise-Wide Cyber Incident Response Plan</dc:title>
</cp:coreProperties>
</file>

<file path=docProps/custom.xml><?xml version="1.0" encoding="utf-8"?>
<Properties xmlns="http://schemas.openxmlformats.org/officeDocument/2006/custom-properties" xmlns:vt="http://schemas.openxmlformats.org/officeDocument/2006/docPropsVTypes"/>
</file>