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line="276"/>
      </w:pPr>
      <w:r>
        <w:rPr>
          <w:rFonts w:ascii="Calibri" w:cs="Calibri" w:eastAsia="Calibri" w:hAnsi="Calibri"/>
          <w:b/>
          <w:bCs/>
          <w:color w:val="1F3864"/>
          <w:sz w:val="30"/>
          <w:szCs w:val="30"/>
        </w:rPr>
        <w:t xml:space="preserve">Presenter Talking Points: Andre Nathaniel Pope Case Study</w:t>
      </w:r>
    </w:p>
    <w:p>
      <w:pPr>
        <w:spacing w:after="60" w:line="276"/>
      </w:pPr>
      <w:r>
        <w:rPr>
          <w:rFonts w:ascii="Calibri" w:cs="Calibri" w:eastAsia="Calibri" w:hAnsi="Calibri"/>
          <w:i/>
          <w:iCs/>
          <w:color w:val="595959"/>
          <w:sz w:val="21"/>
          <w:szCs w:val="21"/>
        </w:rPr>
        <w:t xml:space="preserve">Case 7  ·  Retail payroll / P2P accumulation / month-end outbound wires to Panama</w:t>
      </w:r>
    </w:p>
    <w:p>
      <w:pPr>
        <w:spacing w:after="200" w:line="276"/>
      </w:pPr>
      <w:r>
        <w:rPr>
          <w:rFonts w:ascii="Calibri" w:cs="Calibri" w:eastAsia="Calibri" w:hAnsi="Calibri"/>
          <w:i/>
          <w:iCs/>
          <w:color w:val="C00000"/>
          <w:sz w:val="20"/>
          <w:szCs w:val="20"/>
        </w:rPr>
        <w:t xml:space="preserve">Instructor copy — contains the disposition and answer key. Not for trainee distribution.</w:t>
      </w:r>
    </w:p>
    <w:p>
      <w:pPr>
        <w:spacing w:after="200" w:line="276"/>
      </w:pPr>
      <w:r>
        <w:rPr>
          <w:rFonts w:ascii="Calibri" w:cs="Calibri" w:eastAsia="Calibri" w:hAnsi="Calibri"/>
          <w:sz w:val="21"/>
          <w:szCs w:val="21"/>
        </w:rPr>
        <w:t xml:space="preserve">Here are the key points and statistics to cover when presenting the Andre Nathaniel Pope case study.</w:t>
      </w:r>
    </w:p>
    <w:p>
      <w:pPr>
        <w:pStyle w:val="Heading1"/>
        <w:pBdr>
          <w:bottom w:val="single" w:color="1F3864" w:sz="8" w:space="4"/>
        </w:pBdr>
        <w:spacing w:after="160" w:before="320"/>
      </w:pPr>
      <w:r>
        <w:rPr>
          <w:rFonts w:ascii="Calibri" w:cs="Calibri" w:eastAsia="Calibri" w:hAnsi="Calibri"/>
          <w:b/>
          <w:bCs/>
          <w:color w:val="1F3864"/>
          <w:sz w:val="28"/>
          <w:szCs w:val="28"/>
        </w:rPr>
        <w:t xml:space="preserve">1. The Customer Profile</w:t>
      </w:r>
    </w:p>
    <w:p>
      <w:pPr>
        <w:spacing w:after="120" w:line="276"/>
      </w:pPr>
      <w:r>
        <w:rPr>
          <w:rFonts w:ascii="Calibri" w:cs="Calibri" w:eastAsia="Calibri" w:hAnsi="Calibri"/>
          <w:b/>
          <w:bCs/>
          <w:sz w:val="21"/>
          <w:szCs w:val="21"/>
        </w:rPr>
        <w:t xml:space="preserve">Who is Andre Nathaniel Pope? </w:t>
      </w:r>
      <w:r>
        <w:rPr>
          <w:rFonts w:ascii="Calibri" w:cs="Calibri" w:eastAsia="Calibri" w:hAnsi="Calibri"/>
          <w:sz w:val="21"/>
          <w:szCs w:val="21"/>
        </w:rPr>
        <w:t xml:space="preserve">A 34-year-old customer in Tampa, Florida, listed as a Retail Sales Associate employed by Walmart Stores Inc., with a stated annual income of $21,000.</w:t>
      </w:r>
    </w:p>
    <w:p>
      <w:pPr>
        <w:spacing w:after="120" w:line="276"/>
      </w:pPr>
      <w:r>
        <w:rPr>
          <w:rFonts w:ascii="Calibri" w:cs="Calibri" w:eastAsia="Calibri" w:hAnsi="Calibri"/>
          <w:b/>
          <w:bCs/>
          <w:sz w:val="21"/>
          <w:szCs w:val="21"/>
        </w:rPr>
        <w:t xml:space="preserve">What is his story? </w:t>
      </w:r>
      <w:r>
        <w:rPr>
          <w:rFonts w:ascii="Calibri" w:cs="Calibri" w:eastAsia="Calibri" w:hAnsi="Calibri"/>
          <w:sz w:val="21"/>
          <w:szCs w:val="21"/>
        </w:rPr>
        <w:t xml:space="preserve">He has maintained a personal checking account since February 11, 2023 and a savings account since June 3, 2024. The checking account received weekly payroll deposits and showed ordinary consumer spending, alongside incoming P2P credits and outgoing international wire transfers that are not explained by his employment profile.</w:t>
      </w:r>
    </w:p>
    <w:p>
      <w:pPr>
        <w:spacing w:after="120" w:line="276"/>
      </w:pPr>
      <w:r>
        <w:rPr>
          <w:rFonts w:ascii="Calibri" w:cs="Calibri" w:eastAsia="Calibri" w:hAnsi="Calibri"/>
          <w:b/>
          <w:bCs/>
          <w:sz w:val="21"/>
          <w:szCs w:val="21"/>
        </w:rPr>
        <w:t xml:space="preserve">Key expectation: </w:t>
      </w:r>
      <w:r>
        <w:rPr>
          <w:rFonts w:ascii="Calibri" w:cs="Calibri" w:eastAsia="Calibri" w:hAnsi="Calibri"/>
          <w:sz w:val="21"/>
          <w:szCs w:val="21"/>
        </w:rPr>
        <w:t xml:space="preserve">A personal account belonging to an hourly retail employee earning roughly $390 per week should reflect payroll, household expenses, and P2P transfers with an identifiable personal purpose. Recurring international wire transfers of $3,500 to $4,550 to a corporate beneficiary in a foreign jurisdiction are inconsistent with that expectation.</w:t>
      </w:r>
    </w:p>
    <w:p>
      <w:pPr>
        <w:pStyle w:val="Heading2"/>
        <w:spacing w:after="100" w:before="240"/>
      </w:pPr>
      <w:r>
        <w:rPr>
          <w:rFonts w:ascii="Calibri" w:cs="Calibri" w:eastAsia="Calibri" w:hAnsi="Calibri"/>
          <w:b/>
          <w:bCs/>
          <w:color w:val="1F3864"/>
          <w:sz w:val="23"/>
          <w:szCs w:val="23"/>
        </w:rPr>
        <w:t xml:space="preserve">Stated income against observed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2500"/>
        <w:gridCol w:w="2560"/>
      </w:tblGrid>
      <w:tr>
        <w:trPr>
          <w:tblHeader/>
        </w:trPr>
        <w:tc>
          <w:tcPr>
            <w:tcW w:type="dxa" w:w="4300"/>
            <w:shd w:fill="1F3864"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Measure</w:t>
            </w:r>
          </w:p>
        </w:tc>
        <w:tc>
          <w:tcPr>
            <w:tcW w:type="dxa" w:w="2500"/>
            <w:shd w:fill="1F3864"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Amount</w:t>
            </w:r>
          </w:p>
        </w:tc>
        <w:tc>
          <w:tcPr>
            <w:tcW w:type="dxa" w:w="2560"/>
            <w:shd w:fill="1F3864"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Transactions</w:t>
            </w:r>
          </w:p>
        </w:tc>
      </w:tr>
      <w:tr>
        <w:trPr>
          <w:cantSplit/>
        </w:trPr>
        <w:tc>
          <w:tcPr>
            <w:tcW w:type="dxa" w:w="4300"/>
            <w:tcMar>
              <w:top w:type="dxa" w:w="60"/>
              <w:left w:type="dxa" w:w="110"/>
              <w:bottom w:type="dxa" w:w="60"/>
              <w:right w:type="dxa" w:w="110"/>
            </w:tcMar>
          </w:tcPr>
          <w:p>
            <w:pPr>
              <w:spacing w:after="0" w:line="240"/>
            </w:pPr>
            <w:r>
              <w:rPr>
                <w:rFonts w:ascii="Calibri" w:cs="Calibri" w:eastAsia="Calibri" w:hAnsi="Calibri"/>
                <w:sz w:val="19"/>
                <w:szCs w:val="19"/>
              </w:rPr>
              <w:t xml:space="preserve">Payroll credits from Walmart Stores Inc.</w:t>
            </w:r>
          </w:p>
        </w:tc>
        <w:tc>
          <w:tcPr>
            <w:tcW w:type="dxa" w:w="2500"/>
            <w:tcMar>
              <w:top w:type="dxa" w:w="60"/>
              <w:left w:type="dxa" w:w="110"/>
              <w:bottom w:type="dxa" w:w="60"/>
              <w:right w:type="dxa" w:w="110"/>
            </w:tcMar>
          </w:tcPr>
          <w:p>
            <w:pPr>
              <w:spacing w:after="0" w:line="240"/>
            </w:pPr>
            <w:r>
              <w:rPr>
                <w:rFonts w:ascii="Calibri" w:cs="Calibri" w:eastAsia="Calibri" w:hAnsi="Calibri"/>
                <w:sz w:val="19"/>
                <w:szCs w:val="19"/>
              </w:rPr>
              <w:t xml:space="preserve">$10,092.81</w:t>
            </w:r>
          </w:p>
        </w:tc>
        <w:tc>
          <w:tcPr>
            <w:tcW w:type="dxa" w:w="2560"/>
            <w:tcMar>
              <w:top w:type="dxa" w:w="60"/>
              <w:left w:type="dxa" w:w="110"/>
              <w:bottom w:type="dxa" w:w="60"/>
              <w:right w:type="dxa" w:w="110"/>
            </w:tcMar>
          </w:tcPr>
          <w:p>
            <w:pPr>
              <w:spacing w:after="0" w:line="240"/>
            </w:pPr>
            <w:r>
              <w:rPr>
                <w:rFonts w:ascii="Calibri" w:cs="Calibri" w:eastAsia="Calibri" w:hAnsi="Calibri"/>
                <w:sz w:val="19"/>
                <w:szCs w:val="19"/>
              </w:rPr>
              <w:t xml:space="preserve">26</w:t>
            </w:r>
          </w:p>
        </w:tc>
      </w:tr>
      <w:tr>
        <w:trPr>
          <w:cantSplit/>
        </w:trPr>
        <w:tc>
          <w:tcPr>
            <w:tcW w:type="dxa" w:w="43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Incoming P2P credits</w:t>
            </w:r>
          </w:p>
        </w:tc>
        <w:tc>
          <w:tcPr>
            <w:tcW w:type="dxa" w:w="25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$23,974.70</w:t>
            </w:r>
          </w:p>
        </w:tc>
        <w:tc>
          <w:tcPr>
            <w:tcW w:type="dxa" w:w="256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72</w:t>
            </w:r>
          </w:p>
        </w:tc>
      </w:tr>
      <w:tr>
        <w:trPr>
          <w:cantSplit/>
        </w:trPr>
        <w:tc>
          <w:tcPr>
            <w:tcW w:type="dxa" w:w="4300"/>
            <w:tcMar>
              <w:top w:type="dxa" w:w="60"/>
              <w:left w:type="dxa" w:w="110"/>
              <w:bottom w:type="dxa" w:w="60"/>
              <w:right w:type="dxa" w:w="110"/>
            </w:tcMar>
          </w:tcPr>
          <w:p>
            <w:pPr>
              <w:spacing w:after="0" w:line="240"/>
            </w:pPr>
            <w:r>
              <w:rPr>
                <w:rFonts w:ascii="Calibri" w:cs="Calibri" w:eastAsia="Calibri" w:hAnsi="Calibri"/>
                <w:sz w:val="19"/>
                <w:szCs w:val="19"/>
              </w:rPr>
              <w:t xml:space="preserve">Outgoing international wires</w:t>
            </w:r>
          </w:p>
        </w:tc>
        <w:tc>
          <w:tcPr>
            <w:tcW w:type="dxa" w:w="2500"/>
            <w:tcMar>
              <w:top w:type="dxa" w:w="60"/>
              <w:left w:type="dxa" w:w="110"/>
              <w:bottom w:type="dxa" w:w="60"/>
              <w:right w:type="dxa" w:w="110"/>
            </w:tcMar>
          </w:tcPr>
          <w:p>
            <w:pPr>
              <w:spacing w:after="0" w:line="240"/>
            </w:pPr>
            <w:r>
              <w:rPr>
                <w:rFonts w:ascii="Calibri" w:cs="Calibri" w:eastAsia="Calibri" w:hAnsi="Calibri"/>
                <w:sz w:val="19"/>
                <w:szCs w:val="19"/>
              </w:rPr>
              <w:t xml:space="preserve">$23,100.00</w:t>
            </w:r>
          </w:p>
        </w:tc>
        <w:tc>
          <w:tcPr>
            <w:tcW w:type="dxa" w:w="2560"/>
            <w:tcMar>
              <w:top w:type="dxa" w:w="60"/>
              <w:left w:type="dxa" w:w="110"/>
              <w:bottom w:type="dxa" w:w="60"/>
              <w:right w:type="dxa" w:w="110"/>
            </w:tcMar>
          </w:tcPr>
          <w:p>
            <w:pPr>
              <w:spacing w:after="0" w:line="240"/>
            </w:pPr>
            <w:r>
              <w:rPr>
                <w:rFonts w:ascii="Calibri" w:cs="Calibri" w:eastAsia="Calibri" w:hAnsi="Calibri"/>
                <w:sz w:val="19"/>
                <w:szCs w:val="19"/>
              </w:rPr>
              <w:t xml:space="preserve">6</w:t>
            </w:r>
          </w:p>
        </w:tc>
      </w:tr>
      <w:tr>
        <w:trPr>
          <w:cantSplit/>
        </w:trPr>
        <w:tc>
          <w:tcPr>
            <w:tcW w:type="dxa" w:w="43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Consumer and household debits</w:t>
            </w:r>
          </w:p>
        </w:tc>
        <w:tc>
          <w:tcPr>
            <w:tcW w:type="dxa" w:w="25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$10,495.13</w:t>
            </w:r>
          </w:p>
        </w:tc>
        <w:tc>
          <w:tcPr>
            <w:tcW w:type="dxa" w:w="256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60</w:t>
            </w:r>
          </w:p>
        </w:tc>
      </w:tr>
    </w:tbl>
    <w:p>
      <w:pPr>
        <w:spacing w:after="100"/>
      </w:pPr>
    </w:p>
    <w:p>
      <w:pPr>
        <w:spacing w:after="120" w:line="276"/>
      </w:pPr>
      <w:r>
        <w:rPr>
          <w:rFonts w:ascii="Calibri" w:cs="Calibri" w:eastAsia="Calibri" w:hAnsi="Calibri"/>
          <w:sz w:val="21"/>
          <w:szCs w:val="21"/>
        </w:rPr>
        <w:t xml:space="preserve">The single most useful number to put on the board: the customer wired $23,100.00 out of the country in six months while earning $10,092.81 in the same period. The wires alone are more than double the entire salary.</w:t>
      </w:r>
    </w:p>
    <w:p>
      <w:pPr>
        <w:pStyle w:val="Heading1"/>
        <w:pBdr>
          <w:bottom w:val="single" w:color="1F3864" w:sz="8" w:space="4"/>
        </w:pBdr>
        <w:spacing w:after="160" w:before="320"/>
      </w:pPr>
      <w:r>
        <w:rPr>
          <w:rFonts w:ascii="Calibri" w:cs="Calibri" w:eastAsia="Calibri" w:hAnsi="Calibri"/>
          <w:b/>
          <w:bCs/>
          <w:color w:val="1F3864"/>
          <w:sz w:val="28"/>
          <w:szCs w:val="28"/>
        </w:rPr>
        <w:t xml:space="preserve">2. The Alert</w:t>
      </w:r>
    </w:p>
    <w:p>
      <w:pPr>
        <w:spacing w:after="120" w:line="276"/>
      </w:pPr>
      <w:r>
        <w:rPr>
          <w:rFonts w:ascii="Calibri" w:cs="Calibri" w:eastAsia="Calibri" w:hAnsi="Calibri"/>
          <w:b/>
          <w:bCs/>
          <w:sz w:val="21"/>
          <w:szCs w:val="21"/>
        </w:rPr>
        <w:t xml:space="preserve">The trigger: </w:t>
      </w:r>
      <w:r>
        <w:rPr>
          <w:rFonts w:ascii="Calibri" w:cs="Calibri" w:eastAsia="Calibri" w:hAnsi="Calibri"/>
          <w:sz w:val="21"/>
          <w:szCs w:val="21"/>
        </w:rPr>
        <w:t xml:space="preserve">The case was flagged for 6 out-of-pattern outgoing international wire events on the checking account ending 7216. The savings account ending 5491 had no alerted events.</w:t>
      </w:r>
    </w:p>
    <w:p>
      <w:pPr>
        <w:spacing w:after="120" w:line="276"/>
      </w:pPr>
      <w:r>
        <w:rPr>
          <w:rFonts w:ascii="Calibri" w:cs="Calibri" w:eastAsia="Calibri" w:hAnsi="Calibri"/>
          <w:b/>
          <w:bCs/>
          <w:sz w:val="21"/>
          <w:szCs w:val="21"/>
        </w:rPr>
        <w:t xml:space="preserve">The core conflict: </w:t>
      </w:r>
      <w:r>
        <w:rPr>
          <w:rFonts w:ascii="Calibri" w:cs="Calibri" w:eastAsia="Calibri" w:hAnsi="Calibri"/>
          <w:sz w:val="21"/>
          <w:szCs w:val="21"/>
        </w:rPr>
        <w:t xml:space="preserve">Legitimate weekly payroll and routine living expenses were present and broadly offset one another. They do not explain either the volume of incoming P2P credits from unrelated parties or the outgoing wires those credits funded.</w:t>
      </w:r>
    </w:p>
    <w:p>
      <w:pPr>
        <w:pStyle w:val="Heading1"/>
        <w:pBdr>
          <w:bottom w:val="single" w:color="1F3864" w:sz="8" w:space="4"/>
        </w:pBdr>
        <w:spacing w:after="160" w:before="320"/>
      </w:pPr>
      <w:r>
        <w:rPr>
          <w:rFonts w:ascii="Calibri" w:cs="Calibri" w:eastAsia="Calibri" w:hAnsi="Calibri"/>
          <w:b/>
          <w:bCs/>
          <w:color w:val="1F3864"/>
          <w:sz w:val="28"/>
          <w:szCs w:val="28"/>
        </w:rPr>
        <w:t xml:space="preserve">3. The Investigation</w:t>
      </w:r>
    </w:p>
    <w:p>
      <w:pPr>
        <w:pStyle w:val="Heading2"/>
        <w:spacing w:after="100" w:before="240"/>
      </w:pPr>
      <w:r>
        <w:rPr>
          <w:rFonts w:ascii="Calibri" w:cs="Calibri" w:eastAsia="Calibri" w:hAnsi="Calibri"/>
          <w:b/>
          <w:bCs/>
          <w:color w:val="1F3864"/>
          <w:sz w:val="23"/>
          <w:szCs w:val="23"/>
        </w:rPr>
        <w:t xml:space="preserve">The inflows: many small P2P credits from unrelated senders</w:t>
      </w:r>
    </w:p>
    <w:p>
      <w:pPr>
        <w:spacing w:after="120" w:line="276"/>
      </w:pPr>
      <w:r>
        <w:rPr>
          <w:rFonts w:ascii="Calibri" w:cs="Calibri" w:eastAsia="Calibri" w:hAnsi="Calibri"/>
          <w:sz w:val="21"/>
          <w:szCs w:val="21"/>
        </w:rPr>
        <w:t xml:space="preserve">The checking account was funded by payroll and by incoming P2P credits. The P2P credits arrived in nominal amounts from a large number of distinct senders across six institutions.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2500"/>
        <w:gridCol w:w="2560"/>
      </w:tblGrid>
      <w:tr>
        <w:trPr>
          <w:tblHeader/>
        </w:trPr>
        <w:tc>
          <w:tcPr>
            <w:tcW w:type="dxa" w:w="4300"/>
            <w:shd w:fill="1F3864"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Sender institution</w:t>
            </w:r>
          </w:p>
        </w:tc>
        <w:tc>
          <w:tcPr>
            <w:tcW w:type="dxa" w:w="2500"/>
            <w:shd w:fill="1F3864"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Payments</w:t>
            </w:r>
          </w:p>
        </w:tc>
        <w:tc>
          <w:tcPr>
            <w:tcW w:type="dxa" w:w="2560"/>
            <w:shd w:fill="1F3864"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Total received</w:t>
            </w:r>
          </w:p>
        </w:tc>
      </w:tr>
      <w:tr>
        <w:trPr>
          <w:cantSplit/>
        </w:trPr>
        <w:tc>
          <w:tcPr>
            <w:tcW w:type="dxa" w:w="4300"/>
            <w:tcMar>
              <w:top w:type="dxa" w:w="60"/>
              <w:left w:type="dxa" w:w="110"/>
              <w:bottom w:type="dxa" w:w="60"/>
              <w:right w:type="dxa" w:w="110"/>
            </w:tcMar>
          </w:tcPr>
          <w:p>
            <w:pPr>
              <w:spacing w:after="0" w:line="240"/>
            </w:pPr>
            <w:r>
              <w:rPr>
                <w:rFonts w:ascii="Calibri" w:cs="Calibri" w:eastAsia="Calibri" w:hAnsi="Calibri"/>
                <w:sz w:val="19"/>
                <w:szCs w:val="19"/>
              </w:rPr>
              <w:t xml:space="preserve">PNC Bank</w:t>
            </w:r>
          </w:p>
        </w:tc>
        <w:tc>
          <w:tcPr>
            <w:tcW w:type="dxa" w:w="2500"/>
            <w:tcMar>
              <w:top w:type="dxa" w:w="60"/>
              <w:left w:type="dxa" w:w="110"/>
              <w:bottom w:type="dxa" w:w="60"/>
              <w:right w:type="dxa" w:w="110"/>
            </w:tcMar>
          </w:tcPr>
          <w:p>
            <w:pPr>
              <w:spacing w:after="0" w:line="240"/>
            </w:pPr>
            <w:r>
              <w:rPr>
                <w:rFonts w:ascii="Calibri" w:cs="Calibri" w:eastAsia="Calibri" w:hAnsi="Calibri"/>
                <w:sz w:val="19"/>
                <w:szCs w:val="19"/>
              </w:rPr>
              <w:t xml:space="preserve">14</w:t>
            </w:r>
          </w:p>
        </w:tc>
        <w:tc>
          <w:tcPr>
            <w:tcW w:type="dxa" w:w="2560"/>
            <w:tcMar>
              <w:top w:type="dxa" w:w="60"/>
              <w:left w:type="dxa" w:w="110"/>
              <w:bottom w:type="dxa" w:w="60"/>
              <w:right w:type="dxa" w:w="110"/>
            </w:tcMar>
          </w:tcPr>
          <w:p>
            <w:pPr>
              <w:spacing w:after="0" w:line="240"/>
            </w:pPr>
            <w:r>
              <w:rPr>
                <w:rFonts w:ascii="Calibri" w:cs="Calibri" w:eastAsia="Calibri" w:hAnsi="Calibri"/>
                <w:sz w:val="19"/>
                <w:szCs w:val="19"/>
              </w:rPr>
              <w:t xml:space="preserve">$5,056.90</w:t>
            </w:r>
          </w:p>
        </w:tc>
      </w:tr>
      <w:tr>
        <w:trPr>
          <w:cantSplit/>
        </w:trPr>
        <w:tc>
          <w:tcPr>
            <w:tcW w:type="dxa" w:w="43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Wells Fargo</w:t>
            </w:r>
          </w:p>
        </w:tc>
        <w:tc>
          <w:tcPr>
            <w:tcW w:type="dxa" w:w="25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13</w:t>
            </w:r>
          </w:p>
        </w:tc>
        <w:tc>
          <w:tcPr>
            <w:tcW w:type="dxa" w:w="256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$4,876.03</w:t>
            </w:r>
          </w:p>
        </w:tc>
      </w:tr>
      <w:tr>
        <w:trPr>
          <w:cantSplit/>
        </w:trPr>
        <w:tc>
          <w:tcPr>
            <w:tcW w:type="dxa" w:w="4300"/>
            <w:tcMar>
              <w:top w:type="dxa" w:w="60"/>
              <w:left w:type="dxa" w:w="110"/>
              <w:bottom w:type="dxa" w:w="60"/>
              <w:right w:type="dxa" w:w="110"/>
            </w:tcMar>
          </w:tcPr>
          <w:p>
            <w:pPr>
              <w:spacing w:after="0" w:line="240"/>
            </w:pPr>
            <w:r>
              <w:rPr>
                <w:rFonts w:ascii="Calibri" w:cs="Calibri" w:eastAsia="Calibri" w:hAnsi="Calibri"/>
                <w:sz w:val="19"/>
                <w:szCs w:val="19"/>
              </w:rPr>
              <w:t xml:space="preserve">Chase</w:t>
            </w:r>
          </w:p>
        </w:tc>
        <w:tc>
          <w:tcPr>
            <w:tcW w:type="dxa" w:w="2500"/>
            <w:tcMar>
              <w:top w:type="dxa" w:w="60"/>
              <w:left w:type="dxa" w:w="110"/>
              <w:bottom w:type="dxa" w:w="60"/>
              <w:right w:type="dxa" w:w="110"/>
            </w:tcMar>
          </w:tcPr>
          <w:p>
            <w:pPr>
              <w:spacing w:after="0" w:line="240"/>
            </w:pPr>
            <w:r>
              <w:rPr>
                <w:rFonts w:ascii="Calibri" w:cs="Calibri" w:eastAsia="Calibri" w:hAnsi="Calibri"/>
                <w:sz w:val="19"/>
                <w:szCs w:val="19"/>
              </w:rPr>
              <w:t xml:space="preserve">15</w:t>
            </w:r>
          </w:p>
        </w:tc>
        <w:tc>
          <w:tcPr>
            <w:tcW w:type="dxa" w:w="2560"/>
            <w:tcMar>
              <w:top w:type="dxa" w:w="60"/>
              <w:left w:type="dxa" w:w="110"/>
              <w:bottom w:type="dxa" w:w="60"/>
              <w:right w:type="dxa" w:w="110"/>
            </w:tcMar>
          </w:tcPr>
          <w:p>
            <w:pPr>
              <w:spacing w:after="0" w:line="240"/>
            </w:pPr>
            <w:r>
              <w:rPr>
                <w:rFonts w:ascii="Calibri" w:cs="Calibri" w:eastAsia="Calibri" w:hAnsi="Calibri"/>
                <w:sz w:val="19"/>
                <w:szCs w:val="19"/>
              </w:rPr>
              <w:t xml:space="preserve">$4,354.75</w:t>
            </w:r>
          </w:p>
        </w:tc>
      </w:tr>
      <w:tr>
        <w:trPr>
          <w:cantSplit/>
        </w:trPr>
        <w:tc>
          <w:tcPr>
            <w:tcW w:type="dxa" w:w="43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Bank of America</w:t>
            </w:r>
          </w:p>
        </w:tc>
        <w:tc>
          <w:tcPr>
            <w:tcW w:type="dxa" w:w="25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10</w:t>
            </w:r>
          </w:p>
        </w:tc>
        <w:tc>
          <w:tcPr>
            <w:tcW w:type="dxa" w:w="256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$3,438.27</w:t>
            </w:r>
          </w:p>
        </w:tc>
      </w:tr>
      <w:tr>
        <w:trPr>
          <w:cantSplit/>
        </w:trPr>
        <w:tc>
          <w:tcPr>
            <w:tcW w:type="dxa" w:w="4300"/>
            <w:tcMar>
              <w:top w:type="dxa" w:w="60"/>
              <w:left w:type="dxa" w:w="110"/>
              <w:bottom w:type="dxa" w:w="60"/>
              <w:right w:type="dxa" w:w="110"/>
            </w:tcMar>
          </w:tcPr>
          <w:p>
            <w:pPr>
              <w:spacing w:after="0" w:line="240"/>
            </w:pPr>
            <w:r>
              <w:rPr>
                <w:rFonts w:ascii="Calibri" w:cs="Calibri" w:eastAsia="Calibri" w:hAnsi="Calibri"/>
                <w:sz w:val="19"/>
                <w:szCs w:val="19"/>
              </w:rPr>
              <w:t xml:space="preserve">Truist</w:t>
            </w:r>
          </w:p>
        </w:tc>
        <w:tc>
          <w:tcPr>
            <w:tcW w:type="dxa" w:w="2500"/>
            <w:tcMar>
              <w:top w:type="dxa" w:w="60"/>
              <w:left w:type="dxa" w:w="110"/>
              <w:bottom w:type="dxa" w:w="60"/>
              <w:right w:type="dxa" w:w="110"/>
            </w:tcMar>
          </w:tcPr>
          <w:p>
            <w:pPr>
              <w:spacing w:after="0" w:line="240"/>
            </w:pPr>
            <w:r>
              <w:rPr>
                <w:rFonts w:ascii="Calibri" w:cs="Calibri" w:eastAsia="Calibri" w:hAnsi="Calibri"/>
                <w:sz w:val="19"/>
                <w:szCs w:val="19"/>
              </w:rPr>
              <w:t xml:space="preserve">10</w:t>
            </w:r>
          </w:p>
        </w:tc>
        <w:tc>
          <w:tcPr>
            <w:tcW w:type="dxa" w:w="2560"/>
            <w:tcMar>
              <w:top w:type="dxa" w:w="60"/>
              <w:left w:type="dxa" w:w="110"/>
              <w:bottom w:type="dxa" w:w="60"/>
              <w:right w:type="dxa" w:w="110"/>
            </w:tcMar>
          </w:tcPr>
          <w:p>
            <w:pPr>
              <w:spacing w:after="0" w:line="240"/>
            </w:pPr>
            <w:r>
              <w:rPr>
                <w:rFonts w:ascii="Calibri" w:cs="Calibri" w:eastAsia="Calibri" w:hAnsi="Calibri"/>
                <w:sz w:val="19"/>
                <w:szCs w:val="19"/>
              </w:rPr>
              <w:t xml:space="preserve">$3,303.35</w:t>
            </w:r>
          </w:p>
        </w:tc>
      </w:tr>
      <w:tr>
        <w:trPr>
          <w:cantSplit/>
        </w:trPr>
        <w:tc>
          <w:tcPr>
            <w:tcW w:type="dxa" w:w="43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Citibank</w:t>
            </w:r>
          </w:p>
        </w:tc>
        <w:tc>
          <w:tcPr>
            <w:tcW w:type="dxa" w:w="25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10</w:t>
            </w:r>
          </w:p>
        </w:tc>
        <w:tc>
          <w:tcPr>
            <w:tcW w:type="dxa" w:w="256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$2,945.40</w:t>
            </w:r>
          </w:p>
        </w:tc>
      </w:tr>
      <w:tr>
        <w:trPr>
          <w:cantSplit/>
        </w:trPr>
        <w:tc>
          <w:tcPr>
            <w:tcW w:type="dxa" w:w="4300"/>
            <w:tcMar>
              <w:top w:type="dxa" w:w="60"/>
              <w:left w:type="dxa" w:w="110"/>
              <w:bottom w:type="dxa" w:w="60"/>
              <w:right w:type="dxa" w:w="110"/>
            </w:tcMar>
          </w:tcPr>
          <w:p>
            <w:pPr>
              <w:spacing w:after="0" w:line="240"/>
            </w:pPr>
            <w:r>
              <w:rPr>
                <w:rFonts w:ascii="Calibri" w:cs="Calibri" w:eastAsia="Calibri" w:hAnsi="Calibri"/>
                <w:sz w:val="19"/>
                <w:szCs w:val="19"/>
              </w:rPr>
              <w:t xml:space="preserve">Total</w:t>
            </w:r>
          </w:p>
        </w:tc>
        <w:tc>
          <w:tcPr>
            <w:tcW w:type="dxa" w:w="2500"/>
            <w:tcMar>
              <w:top w:type="dxa" w:w="60"/>
              <w:left w:type="dxa" w:w="110"/>
              <w:bottom w:type="dxa" w:w="60"/>
              <w:right w:type="dxa" w:w="110"/>
            </w:tcMar>
          </w:tcPr>
          <w:p>
            <w:pPr>
              <w:spacing w:after="0" w:line="240"/>
            </w:pPr>
            <w:r>
              <w:rPr>
                <w:rFonts w:ascii="Calibri" w:cs="Calibri" w:eastAsia="Calibri" w:hAnsi="Calibri"/>
                <w:sz w:val="19"/>
                <w:szCs w:val="19"/>
              </w:rPr>
              <w:t xml:space="preserve">72</w:t>
            </w:r>
          </w:p>
        </w:tc>
        <w:tc>
          <w:tcPr>
            <w:tcW w:type="dxa" w:w="2560"/>
            <w:tcMar>
              <w:top w:type="dxa" w:w="60"/>
              <w:left w:type="dxa" w:w="110"/>
              <w:bottom w:type="dxa" w:w="60"/>
              <w:right w:type="dxa" w:w="110"/>
            </w:tcMar>
          </w:tcPr>
          <w:p>
            <w:pPr>
              <w:spacing w:after="0" w:line="240"/>
            </w:pPr>
            <w:r>
              <w:rPr>
                <w:rFonts w:ascii="Calibri" w:cs="Calibri" w:eastAsia="Calibri" w:hAnsi="Calibri"/>
                <w:sz w:val="19"/>
                <w:szCs w:val="19"/>
              </w:rPr>
              <w:t xml:space="preserve">$23,974.70</w:t>
            </w:r>
          </w:p>
        </w:tc>
      </w:tr>
    </w:tbl>
    <w:p>
      <w:pPr>
        <w:spacing w:after="100"/>
      </w:pPr>
    </w:p>
    <w:p>
      <w:pPr>
        <w:spacing w:after="120" w:line="276"/>
      </w:pPr>
      <w:r>
        <w:rPr>
          <w:rFonts w:ascii="Calibri" w:cs="Calibri" w:eastAsia="Calibri" w:hAnsi="Calibri"/>
          <w:sz w:val="21"/>
          <w:szCs w:val="21"/>
        </w:rPr>
        <w:t xml:space="preserve">Individual credits ranged from $201.80 to $499.46 and came from 45 distinct senders. No sender sent more than twice. Transaction notes were blank or a single word — "Payment," "Thanks," "Thx," "Help," "For you." No documentation in the record identifies any sender’s relationship to the customer.</w:t>
      </w:r>
    </w:p>
    <w:p>
      <w:pPr>
        <w:pStyle w:val="Heading2"/>
        <w:spacing w:after="100" w:before="240"/>
      </w:pPr>
      <w:r>
        <w:rPr>
          <w:rFonts w:ascii="Calibri" w:cs="Calibri" w:eastAsia="Calibri" w:hAnsi="Calibri"/>
          <w:b/>
          <w:bCs/>
          <w:color w:val="1F3864"/>
          <w:sz w:val="23"/>
          <w:szCs w:val="23"/>
        </w:rPr>
        <w:t xml:space="preserve">The outflows: six month-end wires to one Panamanian beneficiary</w:t>
      </w:r>
    </w:p>
    <w:p>
      <w:pPr>
        <w:spacing w:after="120" w:line="276"/>
      </w:pPr>
      <w:r>
        <w:rPr>
          <w:rFonts w:ascii="Calibri" w:cs="Calibri" w:eastAsia="Calibri" w:hAnsi="Calibri"/>
          <w:sz w:val="21"/>
          <w:szCs w:val="21"/>
        </w:rPr>
        <w:t xml:space="preserve">Every outgoing wire in the period went to the same beneficiary: Istmo Pacific Trading S.A., account PA45ISTM0000071442908 at Banco Istmeño de Panamá, S.A., Panama City, Panama.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4960"/>
      </w:tblGrid>
      <w:tr>
        <w:trPr>
          <w:tblHeader/>
        </w:trPr>
        <w:tc>
          <w:tcPr>
            <w:tcW w:type="dxa" w:w="2100"/>
            <w:shd w:fill="1F3864"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Date</w:t>
            </w:r>
          </w:p>
        </w:tc>
        <w:tc>
          <w:tcPr>
            <w:tcW w:type="dxa" w:w="2300"/>
            <w:shd w:fill="1F3864"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Amount</w:t>
            </w:r>
          </w:p>
        </w:tc>
        <w:tc>
          <w:tcPr>
            <w:tcW w:type="dxa" w:w="4960"/>
            <w:shd w:fill="1F3864"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Payment description</w:t>
            </w:r>
          </w:p>
        </w:tc>
      </w:tr>
      <w:tr>
        <w:trPr>
          <w:cantSplit/>
        </w:trPr>
        <w:tc>
          <w:tcPr>
            <w:tcW w:type="dxa" w:w="2100"/>
            <w:tcMar>
              <w:top w:type="dxa" w:w="60"/>
              <w:left w:type="dxa" w:w="110"/>
              <w:bottom w:type="dxa" w:w="60"/>
              <w:right w:type="dxa" w:w="110"/>
            </w:tcMar>
          </w:tcPr>
          <w:p>
            <w:pPr>
              <w:spacing w:after="0" w:line="240"/>
            </w:pPr>
            <w:r>
              <w:rPr>
                <w:rFonts w:ascii="Calibri" w:cs="Calibri" w:eastAsia="Calibri" w:hAnsi="Calibri"/>
                <w:sz w:val="19"/>
                <w:szCs w:val="19"/>
              </w:rPr>
              <w:t xml:space="preserve">04/29/2026</w:t>
            </w:r>
          </w:p>
        </w:tc>
        <w:tc>
          <w:tcPr>
            <w:tcW w:type="dxa" w:w="2300"/>
            <w:tcMar>
              <w:top w:type="dxa" w:w="60"/>
              <w:left w:type="dxa" w:w="110"/>
              <w:bottom w:type="dxa" w:w="60"/>
              <w:right w:type="dxa" w:w="110"/>
            </w:tcMar>
          </w:tcPr>
          <w:p>
            <w:pPr>
              <w:spacing w:after="0" w:line="240"/>
            </w:pPr>
            <w:r>
              <w:rPr>
                <w:rFonts w:ascii="Calibri" w:cs="Calibri" w:eastAsia="Calibri" w:hAnsi="Calibri"/>
                <w:sz w:val="19"/>
                <w:szCs w:val="19"/>
              </w:rPr>
              <w:t xml:space="preserve">$3,800.00</w:t>
            </w:r>
          </w:p>
        </w:tc>
        <w:tc>
          <w:tcPr>
            <w:tcW w:type="dxa" w:w="4960"/>
            <w:tcMar>
              <w:top w:type="dxa" w:w="60"/>
              <w:left w:type="dxa" w:w="110"/>
              <w:bottom w:type="dxa" w:w="60"/>
              <w:right w:type="dxa" w:w="110"/>
            </w:tcMar>
          </w:tcPr>
          <w:p>
            <w:pPr>
              <w:spacing w:after="0" w:line="240"/>
            </w:pPr>
            <w:r>
              <w:rPr>
                <w:rFonts w:ascii="Calibri" w:cs="Calibri" w:eastAsia="Calibri" w:hAnsi="Calibri"/>
                <w:sz w:val="19"/>
                <w:szCs w:val="19"/>
              </w:rPr>
              <w:t xml:space="preserve">CONSULTING FEES</w:t>
            </w:r>
          </w:p>
        </w:tc>
      </w:tr>
      <w:tr>
        <w:trPr>
          <w:cantSplit/>
        </w:trPr>
        <w:tc>
          <w:tcPr>
            <w:tcW w:type="dxa" w:w="21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05/28/2026</w:t>
            </w:r>
          </w:p>
        </w:tc>
        <w:tc>
          <w:tcPr>
            <w:tcW w:type="dxa" w:w="23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$4,550.00</w:t>
            </w:r>
          </w:p>
        </w:tc>
        <w:tc>
          <w:tcPr>
            <w:tcW w:type="dxa" w:w="496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SERVICES RENDERED</w:t>
            </w:r>
          </w:p>
        </w:tc>
      </w:tr>
      <w:tr>
        <w:trPr>
          <w:cantSplit/>
        </w:trPr>
        <w:tc>
          <w:tcPr>
            <w:tcW w:type="dxa" w:w="2100"/>
            <w:tcMar>
              <w:top w:type="dxa" w:w="60"/>
              <w:left w:type="dxa" w:w="110"/>
              <w:bottom w:type="dxa" w:w="60"/>
              <w:right w:type="dxa" w:w="110"/>
            </w:tcMar>
          </w:tcPr>
          <w:p>
            <w:pPr>
              <w:spacing w:after="0" w:line="240"/>
            </w:pPr>
            <w:r>
              <w:rPr>
                <w:rFonts w:ascii="Calibri" w:cs="Calibri" w:eastAsia="Calibri" w:hAnsi="Calibri"/>
                <w:sz w:val="19"/>
                <w:szCs w:val="19"/>
              </w:rPr>
              <w:t xml:space="preserve">06/29/2026</w:t>
            </w:r>
          </w:p>
        </w:tc>
        <w:tc>
          <w:tcPr>
            <w:tcW w:type="dxa" w:w="2300"/>
            <w:tcMar>
              <w:top w:type="dxa" w:w="60"/>
              <w:left w:type="dxa" w:w="110"/>
              <w:bottom w:type="dxa" w:w="60"/>
              <w:right w:type="dxa" w:w="110"/>
            </w:tcMar>
          </w:tcPr>
          <w:p>
            <w:pPr>
              <w:spacing w:after="0" w:line="240"/>
            </w:pPr>
            <w:r>
              <w:rPr>
                <w:rFonts w:ascii="Calibri" w:cs="Calibri" w:eastAsia="Calibri" w:hAnsi="Calibri"/>
                <w:sz w:val="19"/>
                <w:szCs w:val="19"/>
              </w:rPr>
              <w:t xml:space="preserve">$3,900.00</w:t>
            </w:r>
          </w:p>
        </w:tc>
        <w:tc>
          <w:tcPr>
            <w:tcW w:type="dxa" w:w="4960"/>
            <w:tcMar>
              <w:top w:type="dxa" w:w="60"/>
              <w:left w:type="dxa" w:w="110"/>
              <w:bottom w:type="dxa" w:w="60"/>
              <w:right w:type="dxa" w:w="110"/>
            </w:tcMar>
          </w:tcPr>
          <w:p>
            <w:pPr>
              <w:spacing w:after="0" w:line="240"/>
            </w:pPr>
            <w:r>
              <w:rPr>
                <w:rFonts w:ascii="Calibri" w:cs="Calibri" w:eastAsia="Calibri" w:hAnsi="Calibri"/>
                <w:sz w:val="19"/>
                <w:szCs w:val="19"/>
              </w:rPr>
              <w:t xml:space="preserve">BUSINESS SUPPORT</w:t>
            </w:r>
          </w:p>
        </w:tc>
      </w:tr>
      <w:tr>
        <w:trPr>
          <w:cantSplit/>
        </w:trPr>
        <w:tc>
          <w:tcPr>
            <w:tcW w:type="dxa" w:w="21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07/30/2026</w:t>
            </w:r>
          </w:p>
        </w:tc>
        <w:tc>
          <w:tcPr>
            <w:tcW w:type="dxa" w:w="23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$3,500.00</w:t>
            </w:r>
          </w:p>
        </w:tc>
        <w:tc>
          <w:tcPr>
            <w:tcW w:type="dxa" w:w="496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GENERAL SERVICES</w:t>
            </w:r>
          </w:p>
        </w:tc>
      </w:tr>
      <w:tr>
        <w:trPr>
          <w:cantSplit/>
        </w:trPr>
        <w:tc>
          <w:tcPr>
            <w:tcW w:type="dxa" w:w="2100"/>
            <w:tcMar>
              <w:top w:type="dxa" w:w="60"/>
              <w:left w:type="dxa" w:w="110"/>
              <w:bottom w:type="dxa" w:w="60"/>
              <w:right w:type="dxa" w:w="110"/>
            </w:tcMar>
          </w:tcPr>
          <w:p>
            <w:pPr>
              <w:spacing w:after="0" w:line="240"/>
            </w:pPr>
            <w:r>
              <w:rPr>
                <w:rFonts w:ascii="Calibri" w:cs="Calibri" w:eastAsia="Calibri" w:hAnsi="Calibri"/>
                <w:sz w:val="19"/>
                <w:szCs w:val="19"/>
              </w:rPr>
              <w:t xml:space="preserve">08/28/2026</w:t>
            </w:r>
          </w:p>
        </w:tc>
        <w:tc>
          <w:tcPr>
            <w:tcW w:type="dxa" w:w="2300"/>
            <w:tcMar>
              <w:top w:type="dxa" w:w="60"/>
              <w:left w:type="dxa" w:w="110"/>
              <w:bottom w:type="dxa" w:w="60"/>
              <w:right w:type="dxa" w:w="110"/>
            </w:tcMar>
          </w:tcPr>
          <w:p>
            <w:pPr>
              <w:spacing w:after="0" w:line="240"/>
            </w:pPr>
            <w:r>
              <w:rPr>
                <w:rFonts w:ascii="Calibri" w:cs="Calibri" w:eastAsia="Calibri" w:hAnsi="Calibri"/>
                <w:sz w:val="19"/>
                <w:szCs w:val="19"/>
              </w:rPr>
              <w:t xml:space="preserve">$3,750.00</w:t>
            </w:r>
          </w:p>
        </w:tc>
        <w:tc>
          <w:tcPr>
            <w:tcW w:type="dxa" w:w="4960"/>
            <w:tcMar>
              <w:top w:type="dxa" w:w="60"/>
              <w:left w:type="dxa" w:w="110"/>
              <w:bottom w:type="dxa" w:w="60"/>
              <w:right w:type="dxa" w:w="110"/>
            </w:tcMar>
          </w:tcPr>
          <w:p>
            <w:pPr>
              <w:spacing w:after="0" w:line="240"/>
            </w:pPr>
            <w:r>
              <w:rPr>
                <w:rFonts w:ascii="Calibri" w:cs="Calibri" w:eastAsia="Calibri" w:hAnsi="Calibri"/>
                <w:sz w:val="19"/>
                <w:szCs w:val="19"/>
              </w:rPr>
              <w:t xml:space="preserve">TRADE SETTLEMENT</w:t>
            </w:r>
          </w:p>
        </w:tc>
      </w:tr>
      <w:tr>
        <w:trPr>
          <w:cantSplit/>
        </w:trPr>
        <w:tc>
          <w:tcPr>
            <w:tcW w:type="dxa" w:w="21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09/29/2026</w:t>
            </w:r>
          </w:p>
        </w:tc>
        <w:tc>
          <w:tcPr>
            <w:tcW w:type="dxa" w:w="23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$3,600.00</w:t>
            </w:r>
          </w:p>
        </w:tc>
        <w:tc>
          <w:tcPr>
            <w:tcW w:type="dxa" w:w="496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PROFESSIONAL SERVICES</w:t>
            </w:r>
          </w:p>
        </w:tc>
      </w:tr>
      <w:tr>
        <w:trPr>
          <w:cantSplit/>
        </w:trPr>
        <w:tc>
          <w:tcPr>
            <w:tcW w:type="dxa" w:w="2100"/>
            <w:tcMar>
              <w:top w:type="dxa" w:w="60"/>
              <w:left w:type="dxa" w:w="110"/>
              <w:bottom w:type="dxa" w:w="60"/>
              <w:right w:type="dxa" w:w="110"/>
            </w:tcMar>
          </w:tcPr>
          <w:p>
            <w:pPr>
              <w:spacing w:after="0" w:line="240"/>
            </w:pPr>
            <w:r>
              <w:rPr>
                <w:rFonts w:ascii="Calibri" w:cs="Calibri" w:eastAsia="Calibri" w:hAnsi="Calibri"/>
                <w:sz w:val="19"/>
                <w:szCs w:val="19"/>
              </w:rPr>
              <w:t xml:space="preserve">Total</w:t>
            </w:r>
          </w:p>
        </w:tc>
        <w:tc>
          <w:tcPr>
            <w:tcW w:type="dxa" w:w="2300"/>
            <w:tcMar>
              <w:top w:type="dxa" w:w="60"/>
              <w:left w:type="dxa" w:w="110"/>
              <w:bottom w:type="dxa" w:w="60"/>
              <w:right w:type="dxa" w:w="110"/>
            </w:tcMar>
          </w:tcPr>
          <w:p>
            <w:pPr>
              <w:spacing w:after="0" w:line="240"/>
            </w:pPr>
            <w:r>
              <w:rPr>
                <w:rFonts w:ascii="Calibri" w:cs="Calibri" w:eastAsia="Calibri" w:hAnsi="Calibri"/>
                <w:sz w:val="19"/>
                <w:szCs w:val="19"/>
              </w:rPr>
              <w:t xml:space="preserve">$23,100.00</w:t>
            </w:r>
          </w:p>
        </w:tc>
        <w:tc>
          <w:tcPr>
            <w:tcW w:type="dxa" w:w="4960"/>
            <w:tcMar>
              <w:top w:type="dxa" w:w="60"/>
              <w:left w:type="dxa" w:w="110"/>
              <w:bottom w:type="dxa" w:w="60"/>
              <w:right w:type="dxa" w:w="110"/>
            </w:tcMar>
          </w:tcPr>
          <w:p>
            <w:pPr>
              <w:spacing w:after="0" w:line="240"/>
            </w:pPr>
            <w:r>
              <w:rPr>
                <w:rFonts w:ascii="Calibri" w:cs="Calibri" w:eastAsia="Calibri" w:hAnsi="Calibri"/>
                <w:sz w:val="19"/>
                <w:szCs w:val="19"/>
              </w:rPr>
              <w:t xml:space="preserve">6 wires, one beneficiary</w:t>
            </w:r>
          </w:p>
        </w:tc>
      </w:tr>
    </w:tbl>
    <w:p>
      <w:pPr>
        <w:spacing w:after="100"/>
      </w:pPr>
    </w:p>
    <w:p>
      <w:pPr>
        <w:spacing w:after="120" w:line="276"/>
      </w:pPr>
      <w:r>
        <w:rPr>
          <w:rFonts w:ascii="Calibri" w:cs="Calibri" w:eastAsia="Calibri" w:hAnsi="Calibri"/>
          <w:sz w:val="21"/>
          <w:szCs w:val="21"/>
        </w:rPr>
        <w:t xml:space="preserve">No invoice number, contract reference, or counterparty documentation accompanied any wire. The customer holds no business account at the bank and internal records list no business affiliation with the beneficiary.</w:t>
      </w:r>
    </w:p>
    <w:p>
      <w:pPr>
        <w:pStyle w:val="Heading2"/>
        <w:spacing w:after="100" w:before="240"/>
      </w:pPr>
      <w:r>
        <w:rPr>
          <w:rFonts w:ascii="Calibri" w:cs="Calibri" w:eastAsia="Calibri" w:hAnsi="Calibri"/>
          <w:b/>
          <w:bCs/>
          <w:color w:val="1F3864"/>
          <w:sz w:val="23"/>
          <w:szCs w:val="23"/>
        </w:rPr>
        <w:t xml:space="preserve">The monthly cycle — the heart of this case</w:t>
      </w:r>
    </w:p>
    <w:p>
      <w:pPr>
        <w:spacing w:after="120" w:line="276"/>
      </w:pPr>
      <w:r>
        <w:rPr>
          <w:rFonts w:ascii="Calibri" w:cs="Calibri" w:eastAsia="Calibri" w:hAnsi="Calibri"/>
          <w:sz w:val="21"/>
          <w:szCs w:val="21"/>
        </w:rPr>
        <w:t xml:space="preserve">Walk the room through this table slowly. It is the whole case on one page: credits accumulate through the month, then leave in a single transfer in the final four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500"/>
        <w:gridCol w:w="1900"/>
        <w:gridCol w:w="1560"/>
      </w:tblGrid>
      <w:tr>
        <w:trPr>
          <w:tblHeader/>
        </w:trPr>
        <w:tc>
          <w:tcPr>
            <w:tcW w:type="dxa" w:w="1500"/>
            <w:shd w:fill="1F3864"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Month</w:t>
            </w:r>
          </w:p>
        </w:tc>
        <w:tc>
          <w:tcPr>
            <w:tcW w:type="dxa" w:w="1900"/>
            <w:shd w:fill="1F3864"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Payroll</w:t>
            </w:r>
          </w:p>
        </w:tc>
        <w:tc>
          <w:tcPr>
            <w:tcW w:type="dxa" w:w="2500"/>
            <w:shd w:fill="1F3864"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P2P credits</w:t>
            </w:r>
          </w:p>
        </w:tc>
        <w:tc>
          <w:tcPr>
            <w:tcW w:type="dxa" w:w="1900"/>
            <w:shd w:fill="1F3864"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Month-end wire</w:t>
            </w:r>
          </w:p>
        </w:tc>
        <w:tc>
          <w:tcPr>
            <w:tcW w:type="dxa" w:w="1560"/>
            <w:shd w:fill="1F3864"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Living expenses</w:t>
            </w:r>
          </w:p>
        </w:tc>
      </w:tr>
      <w:tr>
        <w:trPr>
          <w:cantSplit/>
        </w:trPr>
        <w:tc>
          <w:tcPr>
            <w:tcW w:type="dxa" w:w="1500"/>
            <w:tcMar>
              <w:top w:type="dxa" w:w="60"/>
              <w:left w:type="dxa" w:w="110"/>
              <w:bottom w:type="dxa" w:w="60"/>
              <w:right w:type="dxa" w:w="110"/>
            </w:tcMar>
          </w:tcPr>
          <w:p>
            <w:pPr>
              <w:spacing w:after="0" w:line="240"/>
            </w:pPr>
            <w:r>
              <w:rPr>
                <w:rFonts w:ascii="Calibri" w:cs="Calibri" w:eastAsia="Calibri" w:hAnsi="Calibri"/>
                <w:sz w:val="19"/>
                <w:szCs w:val="19"/>
              </w:rPr>
              <w:t xml:space="preserve">Apr 2026</w:t>
            </w:r>
          </w:p>
        </w:tc>
        <w:tc>
          <w:tcPr>
            <w:tcW w:type="dxa" w:w="1900"/>
            <w:tcMar>
              <w:top w:type="dxa" w:w="60"/>
              <w:left w:type="dxa" w:w="110"/>
              <w:bottom w:type="dxa" w:w="60"/>
              <w:right w:type="dxa" w:w="110"/>
            </w:tcMar>
          </w:tcPr>
          <w:p>
            <w:pPr>
              <w:spacing w:after="0" w:line="240"/>
            </w:pPr>
            <w:r>
              <w:rPr>
                <w:rFonts w:ascii="Calibri" w:cs="Calibri" w:eastAsia="Calibri" w:hAnsi="Calibri"/>
                <w:sz w:val="19"/>
                <w:szCs w:val="19"/>
              </w:rPr>
              <w:t xml:space="preserve">$1,554.21</w:t>
            </w:r>
          </w:p>
        </w:tc>
        <w:tc>
          <w:tcPr>
            <w:tcW w:type="dxa" w:w="2500"/>
            <w:tcMar>
              <w:top w:type="dxa" w:w="60"/>
              <w:left w:type="dxa" w:w="110"/>
              <w:bottom w:type="dxa" w:w="60"/>
              <w:right w:type="dxa" w:w="110"/>
            </w:tcMar>
          </w:tcPr>
          <w:p>
            <w:pPr>
              <w:spacing w:after="0" w:line="240"/>
            </w:pPr>
            <w:r>
              <w:rPr>
                <w:rFonts w:ascii="Calibri" w:cs="Calibri" w:eastAsia="Calibri" w:hAnsi="Calibri"/>
                <w:sz w:val="19"/>
                <w:szCs w:val="19"/>
              </w:rPr>
              <w:t xml:space="preserve">12 — $3,946.60</w:t>
            </w:r>
          </w:p>
        </w:tc>
        <w:tc>
          <w:tcPr>
            <w:tcW w:type="dxa" w:w="1900"/>
            <w:tcMar>
              <w:top w:type="dxa" w:w="60"/>
              <w:left w:type="dxa" w:w="110"/>
              <w:bottom w:type="dxa" w:w="60"/>
              <w:right w:type="dxa" w:w="110"/>
            </w:tcMar>
          </w:tcPr>
          <w:p>
            <w:pPr>
              <w:spacing w:after="0" w:line="240"/>
            </w:pPr>
            <w:r>
              <w:rPr>
                <w:rFonts w:ascii="Calibri" w:cs="Calibri" w:eastAsia="Calibri" w:hAnsi="Calibri"/>
                <w:sz w:val="19"/>
                <w:szCs w:val="19"/>
              </w:rPr>
              <w:t xml:space="preserve">$3,800.00</w:t>
            </w:r>
          </w:p>
        </w:tc>
        <w:tc>
          <w:tcPr>
            <w:tcW w:type="dxa" w:w="1560"/>
            <w:tcMar>
              <w:top w:type="dxa" w:w="60"/>
              <w:left w:type="dxa" w:w="110"/>
              <w:bottom w:type="dxa" w:w="60"/>
              <w:right w:type="dxa" w:w="110"/>
            </w:tcMar>
          </w:tcPr>
          <w:p>
            <w:pPr>
              <w:spacing w:after="0" w:line="240"/>
            </w:pPr>
            <w:r>
              <w:rPr>
                <w:rFonts w:ascii="Calibri" w:cs="Calibri" w:eastAsia="Calibri" w:hAnsi="Calibri"/>
                <w:sz w:val="19"/>
                <w:szCs w:val="19"/>
              </w:rPr>
              <w:t xml:space="preserve">$1,746.69</w:t>
            </w:r>
          </w:p>
        </w:tc>
      </w:tr>
      <w:tr>
        <w:trPr>
          <w:cantSplit/>
        </w:trPr>
        <w:tc>
          <w:tcPr>
            <w:tcW w:type="dxa" w:w="15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May 2026</w:t>
            </w:r>
          </w:p>
        </w:tc>
        <w:tc>
          <w:tcPr>
            <w:tcW w:type="dxa" w:w="19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$1,954.24</w:t>
            </w:r>
          </w:p>
        </w:tc>
        <w:tc>
          <w:tcPr>
            <w:tcW w:type="dxa" w:w="25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12 — $4,681.00</w:t>
            </w:r>
          </w:p>
        </w:tc>
        <w:tc>
          <w:tcPr>
            <w:tcW w:type="dxa" w:w="19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$4,550.00</w:t>
            </w:r>
          </w:p>
        </w:tc>
        <w:tc>
          <w:tcPr>
            <w:tcW w:type="dxa" w:w="156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$1,717.27</w:t>
            </w:r>
          </w:p>
        </w:tc>
      </w:tr>
      <w:tr>
        <w:trPr>
          <w:cantSplit/>
        </w:trPr>
        <w:tc>
          <w:tcPr>
            <w:tcW w:type="dxa" w:w="1500"/>
            <w:tcMar>
              <w:top w:type="dxa" w:w="60"/>
              <w:left w:type="dxa" w:w="110"/>
              <w:bottom w:type="dxa" w:w="60"/>
              <w:right w:type="dxa" w:w="110"/>
            </w:tcMar>
          </w:tcPr>
          <w:p>
            <w:pPr>
              <w:spacing w:after="0" w:line="240"/>
            </w:pPr>
            <w:r>
              <w:rPr>
                <w:rFonts w:ascii="Calibri" w:cs="Calibri" w:eastAsia="Calibri" w:hAnsi="Calibri"/>
                <w:sz w:val="19"/>
                <w:szCs w:val="19"/>
              </w:rPr>
              <w:t xml:space="preserve">Jun 2026</w:t>
            </w:r>
          </w:p>
        </w:tc>
        <w:tc>
          <w:tcPr>
            <w:tcW w:type="dxa" w:w="1900"/>
            <w:tcMar>
              <w:top w:type="dxa" w:w="60"/>
              <w:left w:type="dxa" w:w="110"/>
              <w:bottom w:type="dxa" w:w="60"/>
              <w:right w:type="dxa" w:w="110"/>
            </w:tcMar>
          </w:tcPr>
          <w:p>
            <w:pPr>
              <w:spacing w:after="0" w:line="240"/>
            </w:pPr>
            <w:r>
              <w:rPr>
                <w:rFonts w:ascii="Calibri" w:cs="Calibri" w:eastAsia="Calibri" w:hAnsi="Calibri"/>
                <w:sz w:val="19"/>
                <w:szCs w:val="19"/>
              </w:rPr>
              <w:t xml:space="preserve">$1,555.08</w:t>
            </w:r>
          </w:p>
        </w:tc>
        <w:tc>
          <w:tcPr>
            <w:tcW w:type="dxa" w:w="2500"/>
            <w:tcMar>
              <w:top w:type="dxa" w:w="60"/>
              <w:left w:type="dxa" w:w="110"/>
              <w:bottom w:type="dxa" w:w="60"/>
              <w:right w:type="dxa" w:w="110"/>
            </w:tcMar>
          </w:tcPr>
          <w:p>
            <w:pPr>
              <w:spacing w:after="0" w:line="240"/>
            </w:pPr>
            <w:r>
              <w:rPr>
                <w:rFonts w:ascii="Calibri" w:cs="Calibri" w:eastAsia="Calibri" w:hAnsi="Calibri"/>
                <w:sz w:val="19"/>
                <w:szCs w:val="19"/>
              </w:rPr>
              <w:t xml:space="preserve">12 — $4,050.72</w:t>
            </w:r>
          </w:p>
        </w:tc>
        <w:tc>
          <w:tcPr>
            <w:tcW w:type="dxa" w:w="1900"/>
            <w:tcMar>
              <w:top w:type="dxa" w:w="60"/>
              <w:left w:type="dxa" w:w="110"/>
              <w:bottom w:type="dxa" w:w="60"/>
              <w:right w:type="dxa" w:w="110"/>
            </w:tcMar>
          </w:tcPr>
          <w:p>
            <w:pPr>
              <w:spacing w:after="0" w:line="240"/>
            </w:pPr>
            <w:r>
              <w:rPr>
                <w:rFonts w:ascii="Calibri" w:cs="Calibri" w:eastAsia="Calibri" w:hAnsi="Calibri"/>
                <w:sz w:val="19"/>
                <w:szCs w:val="19"/>
              </w:rPr>
              <w:t xml:space="preserve">$3,900.00</w:t>
            </w:r>
          </w:p>
        </w:tc>
        <w:tc>
          <w:tcPr>
            <w:tcW w:type="dxa" w:w="1560"/>
            <w:tcMar>
              <w:top w:type="dxa" w:w="60"/>
              <w:left w:type="dxa" w:w="110"/>
              <w:bottom w:type="dxa" w:w="60"/>
              <w:right w:type="dxa" w:w="110"/>
            </w:tcMar>
          </w:tcPr>
          <w:p>
            <w:pPr>
              <w:spacing w:after="0" w:line="240"/>
            </w:pPr>
            <w:r>
              <w:rPr>
                <w:rFonts w:ascii="Calibri" w:cs="Calibri" w:eastAsia="Calibri" w:hAnsi="Calibri"/>
                <w:sz w:val="19"/>
                <w:szCs w:val="19"/>
              </w:rPr>
              <w:t xml:space="preserve">$1,782.35</w:t>
            </w:r>
          </w:p>
        </w:tc>
      </w:tr>
      <w:tr>
        <w:trPr>
          <w:cantSplit/>
        </w:trPr>
        <w:tc>
          <w:tcPr>
            <w:tcW w:type="dxa" w:w="15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Jul 2026</w:t>
            </w:r>
          </w:p>
        </w:tc>
        <w:tc>
          <w:tcPr>
            <w:tcW w:type="dxa" w:w="19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$1,928.26</w:t>
            </w:r>
          </w:p>
        </w:tc>
        <w:tc>
          <w:tcPr>
            <w:tcW w:type="dxa" w:w="25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12 — $3,640.35</w:t>
            </w:r>
          </w:p>
        </w:tc>
        <w:tc>
          <w:tcPr>
            <w:tcW w:type="dxa" w:w="19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$3,500.00</w:t>
            </w:r>
          </w:p>
        </w:tc>
        <w:tc>
          <w:tcPr>
            <w:tcW w:type="dxa" w:w="156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$1,724.73</w:t>
            </w:r>
          </w:p>
        </w:tc>
      </w:tr>
      <w:tr>
        <w:trPr>
          <w:cantSplit/>
        </w:trPr>
        <w:tc>
          <w:tcPr>
            <w:tcW w:type="dxa" w:w="1500"/>
            <w:tcMar>
              <w:top w:type="dxa" w:w="60"/>
              <w:left w:type="dxa" w:w="110"/>
              <w:bottom w:type="dxa" w:w="60"/>
              <w:right w:type="dxa" w:w="110"/>
            </w:tcMar>
          </w:tcPr>
          <w:p>
            <w:pPr>
              <w:spacing w:after="0" w:line="240"/>
            </w:pPr>
            <w:r>
              <w:rPr>
                <w:rFonts w:ascii="Calibri" w:cs="Calibri" w:eastAsia="Calibri" w:hAnsi="Calibri"/>
                <w:sz w:val="19"/>
                <w:szCs w:val="19"/>
              </w:rPr>
              <w:t xml:space="preserve">Aug 2026</w:t>
            </w:r>
          </w:p>
        </w:tc>
        <w:tc>
          <w:tcPr>
            <w:tcW w:type="dxa" w:w="1900"/>
            <w:tcMar>
              <w:top w:type="dxa" w:w="60"/>
              <w:left w:type="dxa" w:w="110"/>
              <w:bottom w:type="dxa" w:w="60"/>
              <w:right w:type="dxa" w:w="110"/>
            </w:tcMar>
          </w:tcPr>
          <w:p>
            <w:pPr>
              <w:spacing w:after="0" w:line="240"/>
            </w:pPr>
            <w:r>
              <w:rPr>
                <w:rFonts w:ascii="Calibri" w:cs="Calibri" w:eastAsia="Calibri" w:hAnsi="Calibri"/>
                <w:sz w:val="19"/>
                <w:szCs w:val="19"/>
              </w:rPr>
              <w:t xml:space="preserve">$1,519.44</w:t>
            </w:r>
          </w:p>
        </w:tc>
        <w:tc>
          <w:tcPr>
            <w:tcW w:type="dxa" w:w="2500"/>
            <w:tcMar>
              <w:top w:type="dxa" w:w="60"/>
              <w:left w:type="dxa" w:w="110"/>
              <w:bottom w:type="dxa" w:w="60"/>
              <w:right w:type="dxa" w:w="110"/>
            </w:tcMar>
          </w:tcPr>
          <w:p>
            <w:pPr>
              <w:spacing w:after="0" w:line="240"/>
            </w:pPr>
            <w:r>
              <w:rPr>
                <w:rFonts w:ascii="Calibri" w:cs="Calibri" w:eastAsia="Calibri" w:hAnsi="Calibri"/>
                <w:sz w:val="19"/>
                <w:szCs w:val="19"/>
              </w:rPr>
              <w:t xml:space="preserve">12 — $3,887.72</w:t>
            </w:r>
          </w:p>
        </w:tc>
        <w:tc>
          <w:tcPr>
            <w:tcW w:type="dxa" w:w="1900"/>
            <w:tcMar>
              <w:top w:type="dxa" w:w="60"/>
              <w:left w:type="dxa" w:w="110"/>
              <w:bottom w:type="dxa" w:w="60"/>
              <w:right w:type="dxa" w:w="110"/>
            </w:tcMar>
          </w:tcPr>
          <w:p>
            <w:pPr>
              <w:spacing w:after="0" w:line="240"/>
            </w:pPr>
            <w:r>
              <w:rPr>
                <w:rFonts w:ascii="Calibri" w:cs="Calibri" w:eastAsia="Calibri" w:hAnsi="Calibri"/>
                <w:sz w:val="19"/>
                <w:szCs w:val="19"/>
              </w:rPr>
              <w:t xml:space="preserve">$3,750.00</w:t>
            </w:r>
          </w:p>
        </w:tc>
        <w:tc>
          <w:tcPr>
            <w:tcW w:type="dxa" w:w="1560"/>
            <w:tcMar>
              <w:top w:type="dxa" w:w="60"/>
              <w:left w:type="dxa" w:w="110"/>
              <w:bottom w:type="dxa" w:w="60"/>
              <w:right w:type="dxa" w:w="110"/>
            </w:tcMar>
          </w:tcPr>
          <w:p>
            <w:pPr>
              <w:spacing w:after="0" w:line="240"/>
            </w:pPr>
            <w:r>
              <w:rPr>
                <w:rFonts w:ascii="Calibri" w:cs="Calibri" w:eastAsia="Calibri" w:hAnsi="Calibri"/>
                <w:sz w:val="19"/>
                <w:szCs w:val="19"/>
              </w:rPr>
              <w:t xml:space="preserve">$1,731.48</w:t>
            </w:r>
          </w:p>
        </w:tc>
      </w:tr>
      <w:tr>
        <w:trPr>
          <w:cantSplit/>
        </w:trPr>
        <w:tc>
          <w:tcPr>
            <w:tcW w:type="dxa" w:w="15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Sep 2026</w:t>
            </w:r>
          </w:p>
        </w:tc>
        <w:tc>
          <w:tcPr>
            <w:tcW w:type="dxa" w:w="19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$1,581.58</w:t>
            </w:r>
          </w:p>
        </w:tc>
        <w:tc>
          <w:tcPr>
            <w:tcW w:type="dxa" w:w="25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12 — $3,768.31</w:t>
            </w:r>
          </w:p>
        </w:tc>
        <w:tc>
          <w:tcPr>
            <w:tcW w:type="dxa" w:w="19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$3,600.00</w:t>
            </w:r>
          </w:p>
        </w:tc>
        <w:tc>
          <w:tcPr>
            <w:tcW w:type="dxa" w:w="156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$1,792.61</w:t>
            </w:r>
          </w:p>
        </w:tc>
      </w:tr>
      <w:tr>
        <w:trPr>
          <w:cantSplit/>
        </w:trPr>
        <w:tc>
          <w:tcPr>
            <w:tcW w:type="dxa" w:w="1500"/>
            <w:tcMar>
              <w:top w:type="dxa" w:w="60"/>
              <w:left w:type="dxa" w:w="110"/>
              <w:bottom w:type="dxa" w:w="60"/>
              <w:right w:type="dxa" w:w="110"/>
            </w:tcMar>
          </w:tcPr>
          <w:p>
            <w:pPr>
              <w:spacing w:after="0" w:line="240"/>
            </w:pPr>
            <w:r>
              <w:rPr>
                <w:rFonts w:ascii="Calibri" w:cs="Calibri" w:eastAsia="Calibri" w:hAnsi="Calibri"/>
                <w:sz w:val="19"/>
                <w:szCs w:val="19"/>
              </w:rPr>
              <w:t xml:space="preserve">Total</w:t>
            </w:r>
          </w:p>
        </w:tc>
        <w:tc>
          <w:tcPr>
            <w:tcW w:type="dxa" w:w="1900"/>
            <w:tcMar>
              <w:top w:type="dxa" w:w="60"/>
              <w:left w:type="dxa" w:w="110"/>
              <w:bottom w:type="dxa" w:w="60"/>
              <w:right w:type="dxa" w:w="110"/>
            </w:tcMar>
          </w:tcPr>
          <w:p>
            <w:pPr>
              <w:spacing w:after="0" w:line="240"/>
            </w:pPr>
            <w:r>
              <w:rPr>
                <w:rFonts w:ascii="Calibri" w:cs="Calibri" w:eastAsia="Calibri" w:hAnsi="Calibri"/>
                <w:sz w:val="19"/>
                <w:szCs w:val="19"/>
              </w:rPr>
              <w:t xml:space="preserve">$10,092.81</w:t>
            </w:r>
          </w:p>
        </w:tc>
        <w:tc>
          <w:tcPr>
            <w:tcW w:type="dxa" w:w="2500"/>
            <w:tcMar>
              <w:top w:type="dxa" w:w="60"/>
              <w:left w:type="dxa" w:w="110"/>
              <w:bottom w:type="dxa" w:w="60"/>
              <w:right w:type="dxa" w:w="110"/>
            </w:tcMar>
          </w:tcPr>
          <w:p>
            <w:pPr>
              <w:spacing w:after="0" w:line="240"/>
            </w:pPr>
            <w:r>
              <w:rPr>
                <w:rFonts w:ascii="Calibri" w:cs="Calibri" w:eastAsia="Calibri" w:hAnsi="Calibri"/>
                <w:sz w:val="19"/>
                <w:szCs w:val="19"/>
              </w:rPr>
              <w:t xml:space="preserve">72 — $23,974.70</w:t>
            </w:r>
          </w:p>
        </w:tc>
        <w:tc>
          <w:tcPr>
            <w:tcW w:type="dxa" w:w="1900"/>
            <w:tcMar>
              <w:top w:type="dxa" w:w="60"/>
              <w:left w:type="dxa" w:w="110"/>
              <w:bottom w:type="dxa" w:w="60"/>
              <w:right w:type="dxa" w:w="110"/>
            </w:tcMar>
          </w:tcPr>
          <w:p>
            <w:pPr>
              <w:spacing w:after="0" w:line="240"/>
            </w:pPr>
            <w:r>
              <w:rPr>
                <w:rFonts w:ascii="Calibri" w:cs="Calibri" w:eastAsia="Calibri" w:hAnsi="Calibri"/>
                <w:sz w:val="19"/>
                <w:szCs w:val="19"/>
              </w:rPr>
              <w:t xml:space="preserve">$23,100.00</w:t>
            </w:r>
          </w:p>
        </w:tc>
        <w:tc>
          <w:tcPr>
            <w:tcW w:type="dxa" w:w="1560"/>
            <w:tcMar>
              <w:top w:type="dxa" w:w="60"/>
              <w:left w:type="dxa" w:w="110"/>
              <w:bottom w:type="dxa" w:w="60"/>
              <w:right w:type="dxa" w:w="110"/>
            </w:tcMar>
          </w:tcPr>
          <w:p>
            <w:pPr>
              <w:spacing w:after="0" w:line="240"/>
            </w:pPr>
            <w:r>
              <w:rPr>
                <w:rFonts w:ascii="Calibri" w:cs="Calibri" w:eastAsia="Calibri" w:hAnsi="Calibri"/>
                <w:sz w:val="19"/>
                <w:szCs w:val="19"/>
              </w:rPr>
              <w:t xml:space="preserve">$10,495.13</w:t>
            </w:r>
          </w:p>
        </w:tc>
      </w:tr>
    </w:tbl>
    <w:p>
      <w:pPr>
        <w:spacing w:after="100"/>
      </w:pPr>
    </w:p>
    <w:p>
      <w:pPr>
        <w:spacing w:after="120" w:line="276"/>
      </w:pPr>
      <w:r>
        <w:rPr>
          <w:rFonts w:ascii="Calibri" w:cs="Calibri" w:eastAsia="Calibri" w:hAnsi="Calibri"/>
          <w:sz w:val="21"/>
          <w:szCs w:val="21"/>
        </w:rPr>
        <w:t xml:space="preserve">In every month of the period the wire amount was lower than the P2P credits received that month, and the account balance never retained the wired funds. The balance moved between a low of $413.91 and a closing balance of $2,072.38 — the account held a few hundred dollars while moving $23,100.00 offshore.</w:t>
      </w:r>
    </w:p>
    <w:p>
      <w:pPr>
        <w:pStyle w:val="Heading2"/>
        <w:spacing w:after="100" w:before="240"/>
      </w:pPr>
      <w:r>
        <w:rPr>
          <w:rFonts w:ascii="Calibri" w:cs="Calibri" w:eastAsia="Calibri" w:hAnsi="Calibri"/>
          <w:b/>
          <w:bCs/>
          <w:color w:val="1F3864"/>
          <w:sz w:val="23"/>
          <w:szCs w:val="23"/>
        </w:rPr>
        <w:t xml:space="preserve">The red flags</w:t>
      </w:r>
    </w:p>
    <w:p>
      <w:pPr>
        <w:pStyle w:val="ListParagraph"/>
        <w:numPr>
          <w:ilvl w:val="0"/>
          <w:numId w:val="2"/>
        </w:numPr>
        <w:spacing w:after="70" w:line="276"/>
      </w:pPr>
      <w:r>
        <w:rPr>
          <w:rFonts w:ascii="Calibri" w:cs="Calibri" w:eastAsia="Calibri" w:hAnsi="Calibri"/>
          <w:sz w:val="21"/>
          <w:szCs w:val="21"/>
        </w:rPr>
        <w:t xml:space="preserve">Outgoing wires exceed stated income. Six wires totaling $23,100.00 against $10,092.81 of payroll for the same period.</w:t>
      </w:r>
    </w:p>
    <w:p>
      <w:pPr>
        <w:pStyle w:val="ListParagraph"/>
        <w:numPr>
          <w:ilvl w:val="0"/>
          <w:numId w:val="2"/>
        </w:numPr>
        <w:spacing w:after="70" w:line="276"/>
      </w:pPr>
      <w:r>
        <w:rPr>
          <w:rFonts w:ascii="Calibri" w:cs="Calibri" w:eastAsia="Calibri" w:hAnsi="Calibri"/>
          <w:sz w:val="21"/>
          <w:szCs w:val="21"/>
        </w:rPr>
        <w:t xml:space="preserve">Unknown source of funding. 72 P2P credits totaling $23,974.70 from 45 distinct senders with no documented relationship to the customer.</w:t>
      </w:r>
    </w:p>
    <w:p>
      <w:pPr>
        <w:pStyle w:val="ListParagraph"/>
        <w:numPr>
          <w:ilvl w:val="0"/>
          <w:numId w:val="2"/>
        </w:numPr>
        <w:spacing w:after="70" w:line="276"/>
      </w:pPr>
      <w:r>
        <w:rPr>
          <w:rFonts w:ascii="Calibri" w:cs="Calibri" w:eastAsia="Calibri" w:hAnsi="Calibri"/>
          <w:sz w:val="21"/>
          <w:szCs w:val="21"/>
        </w:rPr>
        <w:t xml:space="preserve">Nominal, repetitive credit amounts. Every P2P credit fell between $201.80 and $499.46, and no sender sent more than twice.</w:t>
      </w:r>
    </w:p>
    <w:p>
      <w:pPr>
        <w:pStyle w:val="ListParagraph"/>
        <w:numPr>
          <w:ilvl w:val="0"/>
          <w:numId w:val="2"/>
        </w:numPr>
        <w:spacing w:after="70" w:line="276"/>
      </w:pPr>
      <w:r>
        <w:rPr>
          <w:rFonts w:ascii="Calibri" w:cs="Calibri" w:eastAsia="Calibri" w:hAnsi="Calibri"/>
          <w:sz w:val="21"/>
          <w:szCs w:val="21"/>
        </w:rPr>
        <w:t xml:space="preserve">Vague or missing payment descriptions. P2P notes were blank or single words; wire descriptions were generic service terms with no invoice or contract reference.</w:t>
      </w:r>
    </w:p>
    <w:p>
      <w:pPr>
        <w:pStyle w:val="ListParagraph"/>
        <w:numPr>
          <w:ilvl w:val="0"/>
          <w:numId w:val="2"/>
        </w:numPr>
        <w:spacing w:after="70" w:line="276"/>
      </w:pPr>
      <w:r>
        <w:rPr>
          <w:rFonts w:ascii="Calibri" w:cs="Calibri" w:eastAsia="Calibri" w:hAnsi="Calibri"/>
          <w:sz w:val="21"/>
          <w:szCs w:val="21"/>
        </w:rPr>
        <w:t xml:space="preserve">Accumulate-and-remit timing. Credits accrued across each month and left in one transfer in the final four days of that month, in all six months.</w:t>
      </w:r>
    </w:p>
    <w:p>
      <w:pPr>
        <w:pStyle w:val="ListParagraph"/>
        <w:numPr>
          <w:ilvl w:val="0"/>
          <w:numId w:val="2"/>
        </w:numPr>
        <w:spacing w:after="70" w:line="276"/>
      </w:pPr>
      <w:r>
        <w:rPr>
          <w:rFonts w:ascii="Calibri" w:cs="Calibri" w:eastAsia="Calibri" w:hAnsi="Calibri"/>
          <w:sz w:val="21"/>
          <w:szCs w:val="21"/>
        </w:rPr>
        <w:t xml:space="preserve">Single foreign beneficiary. All six wires went to the same corporate beneficiary in Panama, with which the customer has no recorded business relationship.</w:t>
      </w:r>
    </w:p>
    <w:p>
      <w:pPr>
        <w:pStyle w:val="ListParagraph"/>
        <w:numPr>
          <w:ilvl w:val="0"/>
          <w:numId w:val="2"/>
        </w:numPr>
        <w:spacing w:after="70" w:line="276"/>
      </w:pPr>
      <w:r>
        <w:rPr>
          <w:rFonts w:ascii="Calibri" w:cs="Calibri" w:eastAsia="Calibri" w:hAnsi="Calibri"/>
          <w:sz w:val="21"/>
          <w:szCs w:val="21"/>
        </w:rPr>
        <w:t xml:space="preserve">Pass-through account behaviour. The account did not retain the wired amounts between months.</w:t>
      </w:r>
    </w:p>
    <w:p>
      <w:pPr>
        <w:pStyle w:val="ListParagraph"/>
        <w:numPr>
          <w:ilvl w:val="0"/>
          <w:numId w:val="2"/>
        </w:numPr>
        <w:spacing w:after="70" w:line="276"/>
      </w:pPr>
      <w:r>
        <w:rPr>
          <w:rFonts w:ascii="Calibri" w:cs="Calibri" w:eastAsia="Calibri" w:hAnsi="Calibri"/>
          <w:sz w:val="21"/>
          <w:szCs w:val="21"/>
        </w:rPr>
        <w:t xml:space="preserve">Activity inconsistent with KYC. The stated occupation, employer, and $21,000 annual income do not explain the volume, frequency, or destination of the activity.</w:t>
      </w:r>
    </w:p>
    <w:p>
      <w:r>
        <w:br w:type="page"/>
      </w:r>
    </w:p>
    <w:p>
      <w:pPr>
        <w:pStyle w:val="Heading1"/>
        <w:pBdr>
          <w:bottom w:val="single" w:color="1F3864" w:sz="8" w:space="4"/>
        </w:pBdr>
        <w:spacing w:after="160" w:before="320"/>
      </w:pPr>
      <w:r>
        <w:rPr>
          <w:rFonts w:ascii="Calibri" w:cs="Calibri" w:eastAsia="Calibri" w:hAnsi="Calibri"/>
          <w:b/>
          <w:bCs/>
          <w:color w:val="1F3864"/>
          <w:sz w:val="28"/>
          <w:szCs w:val="28"/>
        </w:rPr>
        <w:t xml:space="preserve">4. Conclusion for the Case Study</w:t>
      </w:r>
    </w:p>
    <w:p>
      <w:pPr>
        <w:spacing w:after="120" w:line="276"/>
      </w:pPr>
      <w:r>
        <w:rPr>
          <w:rFonts w:ascii="Calibri" w:cs="Calibri" w:eastAsia="Calibri" w:hAnsi="Calibri"/>
          <w:b/>
          <w:bCs/>
          <w:sz w:val="21"/>
          <w:szCs w:val="21"/>
        </w:rPr>
        <w:t xml:space="preserve">The verdict: </w:t>
      </w:r>
      <w:r>
        <w:rPr>
          <w:rFonts w:ascii="Calibri" w:cs="Calibri" w:eastAsia="Calibri" w:hAnsi="Calibri"/>
          <w:sz w:val="21"/>
          <w:szCs w:val="21"/>
        </w:rPr>
        <w:t xml:space="preserve">The activity supports filing a Suspicious Activity Report for suspicious source of funds, suspicious EFT/wire transfers, transactions out of pattern for the customer, use of third-party transactors, transactions with no apparent economic or lawful purpose, and transactions involving a foreign jurisdiction.</w:t>
      </w:r>
    </w:p>
    <w:p>
      <w:pPr>
        <w:spacing w:after="120" w:line="276"/>
      </w:pPr>
      <w:r>
        <w:rPr>
          <w:rFonts w:ascii="Calibri" w:cs="Calibri" w:eastAsia="Calibri" w:hAnsi="Calibri"/>
          <w:b/>
          <w:bCs/>
          <w:sz w:val="21"/>
          <w:szCs w:val="21"/>
        </w:rPr>
        <w:t xml:space="preserve">The reportable amount: </w:t>
      </w:r>
      <w:r>
        <w:rPr>
          <w:rFonts w:ascii="Calibri" w:cs="Calibri" w:eastAsia="Calibri" w:hAnsi="Calibri"/>
          <w:sz w:val="21"/>
          <w:szCs w:val="21"/>
        </w:rPr>
        <w:t xml:space="preserve">The suspicious activity totals $47,074.70, consisting of $23,974.70 in incoming P2P credits and $23,100.00 in outgoing international wire transfers. The reported activity period is April 3, 2026 through September 29, 2026. SAR field 29 is entered as 47075.</w:t>
      </w:r>
    </w:p>
    <w:p>
      <w:pPr>
        <w:spacing w:after="120" w:line="276"/>
      </w:pPr>
      <w:r>
        <w:rPr>
          <w:rFonts w:ascii="Calibri" w:cs="Calibri" w:eastAsia="Calibri" w:hAnsi="Calibri"/>
          <w:b/>
          <w:bCs/>
          <w:sz w:val="21"/>
          <w:szCs w:val="21"/>
        </w:rPr>
        <w:t xml:space="preserve">Mitigating information: </w:t>
      </w:r>
      <w:r>
        <w:rPr>
          <w:rFonts w:ascii="Calibri" w:cs="Calibri" w:eastAsia="Calibri" w:hAnsi="Calibri"/>
          <w:sz w:val="21"/>
          <w:szCs w:val="21"/>
        </w:rPr>
        <w:t xml:space="preserve">Twenty-six weekly payroll credits from the stated employer and sixty ordinary rent, utility, grocery, fuel, and consumer debits support legitimate account use. Payroll of $10,092.81 broadly offsets living expenses of $10,495.13. These factors do not explain the P2P credits or the wire transfers.</w:t>
      </w:r>
    </w:p>
    <w:p>
      <w:pPr>
        <w:spacing w:after="120" w:line="276"/>
      </w:pPr>
      <w:r>
        <w:rPr>
          <w:rFonts w:ascii="Calibri" w:cs="Calibri" w:eastAsia="Calibri" w:hAnsi="Calibri"/>
          <w:b/>
          <w:bCs/>
          <w:sz w:val="21"/>
          <w:szCs w:val="21"/>
        </w:rPr>
        <w:t xml:space="preserve">The lesson: </w:t>
      </w:r>
      <w:r>
        <w:rPr>
          <w:rFonts w:ascii="Calibri" w:cs="Calibri" w:eastAsia="Calibri" w:hAnsi="Calibri"/>
          <w:sz w:val="21"/>
          <w:szCs w:val="21"/>
        </w:rPr>
        <w:t xml:space="preserve">The alert fired on the outbound wires, but the wires alone do not make the case. The investigation is in reconstructing what funded them. An analyst who reviews only the six alerted events sees six large transfers; an analyst who works backwards through the preceding thirty days each month sees an accumulation pattern, 45 unrelated senders, and an account that functions as a conduit rather than a personal account.</w:t>
      </w:r>
    </w:p>
    <w:p>
      <w:pPr>
        <w:pStyle w:val="Heading2"/>
        <w:spacing w:after="100" w:before="240"/>
      </w:pPr>
      <w:r>
        <w:rPr>
          <w:rFonts w:ascii="Calibri" w:cs="Calibri" w:eastAsia="Calibri" w:hAnsi="Calibri"/>
          <w:b/>
          <w:bCs/>
          <w:color w:val="1F3864"/>
          <w:sz w:val="23"/>
          <w:szCs w:val="23"/>
        </w:rPr>
        <w:t xml:space="preserve">Key takeaways</w:t>
      </w:r>
    </w:p>
    <w:p>
      <w:pPr>
        <w:pStyle w:val="ListParagraph"/>
        <w:numPr>
          <w:ilvl w:val="0"/>
          <w:numId w:val="2"/>
        </w:numPr>
        <w:spacing w:after="70" w:line="276"/>
      </w:pPr>
      <w:r>
        <w:rPr>
          <w:rFonts w:ascii="Calibri" w:cs="Calibri" w:eastAsia="Calibri" w:hAnsi="Calibri"/>
          <w:sz w:val="21"/>
          <w:szCs w:val="21"/>
        </w:rPr>
        <w:t xml:space="preserve">Reconcile the 6 alerted wire events to the checking account ending 7216 and distinguish the savings account ending 5491, which had no alerted events.</w:t>
      </w:r>
    </w:p>
    <w:p>
      <w:pPr>
        <w:pStyle w:val="ListParagraph"/>
        <w:numPr>
          <w:ilvl w:val="0"/>
          <w:numId w:val="2"/>
        </w:numPr>
        <w:spacing w:after="70" w:line="276"/>
      </w:pPr>
      <w:r>
        <w:rPr>
          <w:rFonts w:ascii="Calibri" w:cs="Calibri" w:eastAsia="Calibri" w:hAnsi="Calibri"/>
          <w:sz w:val="21"/>
          <w:szCs w:val="21"/>
        </w:rPr>
        <w:t xml:space="preserve">Group and total the transactions: $23,974.70 in incoming P2P credits, followed by $23,100.00 in outgoing wires to a single foreign beneficiary.</w:t>
      </w:r>
    </w:p>
    <w:p>
      <w:pPr>
        <w:pStyle w:val="ListParagraph"/>
        <w:numPr>
          <w:ilvl w:val="0"/>
          <w:numId w:val="2"/>
        </w:numPr>
        <w:spacing w:after="70" w:line="276"/>
      </w:pPr>
      <w:r>
        <w:rPr>
          <w:rFonts w:ascii="Calibri" w:cs="Calibri" w:eastAsia="Calibri" w:hAnsi="Calibri"/>
          <w:sz w:val="21"/>
          <w:szCs w:val="21"/>
        </w:rPr>
        <w:t xml:space="preserve">Compare both figures against $10,092.81 of payroll and a $21,000 stated annual income. The arithmetic alone establishes that salary did not fund the wires.</w:t>
      </w:r>
    </w:p>
    <w:p>
      <w:pPr>
        <w:pStyle w:val="ListParagraph"/>
        <w:numPr>
          <w:ilvl w:val="0"/>
          <w:numId w:val="2"/>
        </w:numPr>
        <w:spacing w:after="70" w:line="276"/>
      </w:pPr>
      <w:r>
        <w:rPr>
          <w:rFonts w:ascii="Calibri" w:cs="Calibri" w:eastAsia="Calibri" w:hAnsi="Calibri"/>
          <w:sz w:val="21"/>
          <w:szCs w:val="21"/>
        </w:rPr>
        <w:t xml:space="preserve">Document the month-end timing in all six months, and the fact that each wire was smaller than that month’s P2P credits.</w:t>
      </w:r>
    </w:p>
    <w:p>
      <w:pPr>
        <w:pStyle w:val="ListParagraph"/>
        <w:numPr>
          <w:ilvl w:val="0"/>
          <w:numId w:val="2"/>
        </w:numPr>
        <w:spacing w:after="70" w:line="276"/>
      </w:pPr>
      <w:r>
        <w:rPr>
          <w:rFonts w:ascii="Calibri" w:cs="Calibri" w:eastAsia="Calibri" w:hAnsi="Calibri"/>
          <w:sz w:val="21"/>
          <w:szCs w:val="21"/>
        </w:rPr>
        <w:t xml:space="preserve">Separate mitigating activity — payroll and routine expenses — from the unexplained P2P and wire activity, and state plainly that the mitigation does not resolve it.</w:t>
      </w:r>
    </w:p>
    <w:p>
      <w:pPr>
        <w:pStyle w:val="ListParagraph"/>
        <w:numPr>
          <w:ilvl w:val="0"/>
          <w:numId w:val="2"/>
        </w:numPr>
        <w:spacing w:after="70" w:line="276"/>
      </w:pPr>
      <w:r>
        <w:rPr>
          <w:rFonts w:ascii="Calibri" w:cs="Calibri" w:eastAsia="Calibri" w:hAnsi="Calibri"/>
          <w:sz w:val="21"/>
          <w:szCs w:val="21"/>
        </w:rPr>
        <w:t xml:space="preserve">Ensure the narrative, field 29 amount, activity dates, product type, and payment mechanisms are consistent across the SAR form.</w:t>
      </w:r>
    </w:p>
    <w:p>
      <w:pPr>
        <w:pStyle w:val="Heading2"/>
        <w:spacing w:after="100" w:before="240"/>
      </w:pPr>
      <w:r>
        <w:rPr>
          <w:rFonts w:ascii="Calibri" w:cs="Calibri" w:eastAsia="Calibri" w:hAnsi="Calibri"/>
          <w:b/>
          <w:bCs/>
          <w:color w:val="1F3864"/>
          <w:sz w:val="23"/>
          <w:szCs w:val="23"/>
        </w:rPr>
        <w:t xml:space="preserve">Drafting standard for this case</w:t>
      </w:r>
    </w:p>
    <w:p>
      <w:pPr>
        <w:spacing w:after="120" w:line="276"/>
      </w:pPr>
      <w:r>
        <w:rPr>
          <w:rFonts w:ascii="Calibri" w:cs="Calibri" w:eastAsia="Calibri" w:hAnsi="Calibri"/>
          <w:b/>
          <w:bCs/>
          <w:sz w:val="21"/>
          <w:szCs w:val="21"/>
        </w:rPr>
        <w:t xml:space="preserve">The narrative records what the account record shows and nothing further. </w:t>
      </w:r>
      <w:r>
        <w:rPr>
          <w:rFonts w:ascii="Calibri" w:cs="Calibri" w:eastAsia="Calibri" w:hAnsi="Calibri"/>
          <w:sz w:val="21"/>
          <w:szCs w:val="21"/>
        </w:rPr>
        <w:t xml:space="preserve">It states amounts, dates, counterparties, descriptions, and the relationships between them. It does not characterise what the funds represent, name a predicate offence, or attribute intent to the customer or to any sender. Where the record does not establish something — the source of the P2P credits, the purpose of the wires — the narrative says that it was not established. Hold trainees to the same standard: a SAR narrative that speculates is harder to defend than one that is merely factual, and the reader’s job is to investigate, not to inherit the filer’s theory.</w:t>
      </w:r>
    </w:p>
    <w:p>
      <w:pPr>
        <w:pStyle w:val="Heading2"/>
        <w:spacing w:after="100" w:before="240"/>
      </w:pPr>
      <w:r>
        <w:rPr>
          <w:rFonts w:ascii="Calibri" w:cs="Calibri" w:eastAsia="Calibri" w:hAnsi="Calibri"/>
          <w:b/>
          <w:bCs/>
          <w:color w:val="1F3864"/>
          <w:sz w:val="23"/>
          <w:szCs w:val="23"/>
        </w:rPr>
        <w:t xml:space="preserve">Discussion questions</w:t>
      </w:r>
    </w:p>
    <w:p>
      <w:pPr>
        <w:pStyle w:val="ListParagraph"/>
        <w:numPr>
          <w:ilvl w:val="0"/>
          <w:numId w:val="2"/>
        </w:numPr>
        <w:spacing w:after="70" w:line="276"/>
      </w:pPr>
      <w:r>
        <w:rPr>
          <w:rFonts w:ascii="Calibri" w:cs="Calibri" w:eastAsia="Calibri" w:hAnsi="Calibri"/>
          <w:sz w:val="21"/>
          <w:szCs w:val="21"/>
        </w:rPr>
        <w:t xml:space="preserve">Why is the amount reported $47,074.70 rather than $23,100.00? (Answer: both sides of the flow are reportable. The incoming credits are the unexplained source and the wires are the unexplained use; describing only the outflow would hide how the funds entered the account.)</w:t>
      </w:r>
    </w:p>
    <w:p>
      <w:pPr>
        <w:pStyle w:val="ListParagraph"/>
        <w:numPr>
          <w:ilvl w:val="0"/>
          <w:numId w:val="2"/>
        </w:numPr>
        <w:spacing w:after="70" w:line="276"/>
      </w:pPr>
      <w:r>
        <w:rPr>
          <w:rFonts w:ascii="Calibri" w:cs="Calibri" w:eastAsia="Calibri" w:hAnsi="Calibri"/>
          <w:sz w:val="21"/>
          <w:szCs w:val="21"/>
        </w:rPr>
        <w:t xml:space="preserve">The customer’s payroll and living expenses nearly offset. Does that make the account look more or less suspicious? (Answer: more. It shows the P2P credits were not needed for living costs, which removes the most obvious innocent explanation for receiving them.)</w:t>
      </w:r>
    </w:p>
    <w:p>
      <w:pPr>
        <w:pStyle w:val="ListParagraph"/>
        <w:numPr>
          <w:ilvl w:val="0"/>
          <w:numId w:val="2"/>
        </w:numPr>
        <w:spacing w:after="70" w:line="276"/>
      </w:pPr>
      <w:r>
        <w:rPr>
          <w:rFonts w:ascii="Calibri" w:cs="Calibri" w:eastAsia="Calibri" w:hAnsi="Calibri"/>
          <w:sz w:val="21"/>
          <w:szCs w:val="21"/>
        </w:rPr>
        <w:t xml:space="preserve">What single additional document would most change the disposition? (Answer: evidence of a documented business relationship with the beneficiary, or an identified source for the P2P credits. Neither is present in the record.)</w:t>
      </w:r>
    </w:p>
    <w:p>
      <w:pPr>
        <w:pStyle w:val="ListParagraph"/>
        <w:numPr>
          <w:ilvl w:val="0"/>
          <w:numId w:val="2"/>
        </w:numPr>
        <w:spacing w:after="70" w:line="276"/>
      </w:pPr>
      <w:r>
        <w:rPr>
          <w:rFonts w:ascii="Calibri" w:cs="Calibri" w:eastAsia="Calibri" w:hAnsi="Calibri"/>
          <w:sz w:val="21"/>
          <w:szCs w:val="21"/>
        </w:rPr>
        <w:t xml:space="preserve">What would you have concluded if you had reviewed only the six alerted events?</w:t>
      </w:r>
    </w:p>
    <w:p>
      <w:r>
        <w:br w:type="page"/>
      </w:r>
    </w:p>
    <w:p>
      <w:pPr>
        <w:pStyle w:val="Heading1"/>
        <w:pBdr>
          <w:bottom w:val="single" w:color="1F3864" w:sz="8" w:space="4"/>
        </w:pBdr>
        <w:spacing w:after="160" w:before="320"/>
      </w:pPr>
      <w:r>
        <w:rPr>
          <w:rFonts w:ascii="Calibri" w:cs="Calibri" w:eastAsia="Calibri" w:hAnsi="Calibri"/>
          <w:b/>
          <w:bCs/>
          <w:color w:val="1F3864"/>
          <w:sz w:val="28"/>
          <w:szCs w:val="28"/>
        </w:rPr>
        <w:t xml:space="preserve">Answer key — Case Study Questions</w:t>
      </w:r>
    </w:p>
    <w:p>
      <w:pPr>
        <w:spacing w:after="120" w:line="276"/>
      </w:pPr>
      <w:r>
        <w:rPr>
          <w:rFonts w:ascii="Calibri" w:cs="Calibri" w:eastAsia="Calibri" w:hAnsi="Calibri"/>
          <w:sz w:val="21"/>
          <w:szCs w:val="21"/>
        </w:rPr>
        <w:t xml:space="preserve">The instructor workbook has the correct option marked with X in column A and shaded. Reproduced here for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5260"/>
      </w:tblGrid>
      <w:tr>
        <w:trPr>
          <w:tblHeader/>
        </w:trPr>
        <w:tc>
          <w:tcPr>
            <w:tcW w:type="dxa" w:w="500"/>
            <w:shd w:fill="1F3864"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w:t>
            </w:r>
          </w:p>
        </w:tc>
        <w:tc>
          <w:tcPr>
            <w:tcW w:type="dxa" w:w="3600"/>
            <w:shd w:fill="1F3864"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Question</w:t>
            </w:r>
          </w:p>
        </w:tc>
        <w:tc>
          <w:tcPr>
            <w:tcW w:type="dxa" w:w="5260"/>
            <w:shd w:fill="1F3864"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Correct answer</w:t>
            </w:r>
          </w:p>
        </w:tc>
      </w:tr>
      <w:tr>
        <w:trPr>
          <w:cantSplit/>
        </w:trPr>
        <w:tc>
          <w:tcPr>
            <w:tcW w:type="dxa" w:w="500"/>
            <w:tcMar>
              <w:top w:type="dxa" w:w="60"/>
              <w:left w:type="dxa" w:w="110"/>
              <w:bottom w:type="dxa" w:w="60"/>
              <w:right w:type="dxa" w:w="110"/>
            </w:tcMar>
          </w:tcPr>
          <w:p>
            <w:pPr>
              <w:spacing w:after="0" w:line="240"/>
            </w:pPr>
            <w:r>
              <w:rPr>
                <w:rFonts w:ascii="Calibri" w:cs="Calibri" w:eastAsia="Calibri" w:hAnsi="Calibri"/>
                <w:sz w:val="19"/>
                <w:szCs w:val="19"/>
              </w:rPr>
              <w:t xml:space="preserve">1</w:t>
            </w:r>
          </w:p>
        </w:tc>
        <w:tc>
          <w:tcPr>
            <w:tcW w:type="dxa" w:w="3600"/>
            <w:tcMar>
              <w:top w:type="dxa" w:w="60"/>
              <w:left w:type="dxa" w:w="110"/>
              <w:bottom w:type="dxa" w:w="60"/>
              <w:right w:type="dxa" w:w="110"/>
            </w:tcMar>
          </w:tcPr>
          <w:p>
            <w:pPr>
              <w:spacing w:after="0" w:line="240"/>
            </w:pPr>
            <w:r>
              <w:rPr>
                <w:rFonts w:ascii="Calibri" w:cs="Calibri" w:eastAsia="Calibri" w:hAnsi="Calibri"/>
                <w:sz w:val="19"/>
                <w:szCs w:val="19"/>
              </w:rPr>
              <w:t xml:space="preserve">How is the $47,074.70 reconciled?</w:t>
            </w:r>
          </w:p>
        </w:tc>
        <w:tc>
          <w:tcPr>
            <w:tcW w:type="dxa" w:w="5260"/>
            <w:tcMar>
              <w:top w:type="dxa" w:w="60"/>
              <w:left w:type="dxa" w:w="110"/>
              <w:bottom w:type="dxa" w:w="60"/>
              <w:right w:type="dxa" w:w="110"/>
            </w:tcMar>
          </w:tcPr>
          <w:p>
            <w:pPr>
              <w:spacing w:after="0" w:line="240"/>
            </w:pPr>
            <w:r>
              <w:rPr>
                <w:rFonts w:ascii="Calibri" w:cs="Calibri" w:eastAsia="Calibri" w:hAnsi="Calibri"/>
                <w:sz w:val="19"/>
                <w:szCs w:val="19"/>
              </w:rPr>
              <w:t xml:space="preserve">B — $23,974.70 incoming P2P + $23,100.00 outgoing wires</w:t>
            </w:r>
          </w:p>
        </w:tc>
      </w:tr>
      <w:tr>
        <w:trPr>
          <w:cantSplit/>
        </w:trPr>
        <w:tc>
          <w:tcPr>
            <w:tcW w:type="dxa" w:w="5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2</w:t>
            </w:r>
          </w:p>
        </w:tc>
        <w:tc>
          <w:tcPr>
            <w:tcW w:type="dxa" w:w="36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Wires not funded by salary?</w:t>
            </w:r>
          </w:p>
        </w:tc>
        <w:tc>
          <w:tcPr>
            <w:tcW w:type="dxa" w:w="526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C — Wires of $23,100.00 exceed payroll of $10,092.81</w:t>
            </w:r>
          </w:p>
        </w:tc>
      </w:tr>
      <w:tr>
        <w:trPr>
          <w:cantSplit/>
        </w:trPr>
        <w:tc>
          <w:tcPr>
            <w:tcW w:type="dxa" w:w="500"/>
            <w:tcMar>
              <w:top w:type="dxa" w:w="60"/>
              <w:left w:type="dxa" w:w="110"/>
              <w:bottom w:type="dxa" w:w="60"/>
              <w:right w:type="dxa" w:w="110"/>
            </w:tcMar>
          </w:tcPr>
          <w:p>
            <w:pPr>
              <w:spacing w:after="0" w:line="240"/>
            </w:pPr>
            <w:r>
              <w:rPr>
                <w:rFonts w:ascii="Calibri" w:cs="Calibri" w:eastAsia="Calibri" w:hAnsi="Calibri"/>
                <w:sz w:val="19"/>
                <w:szCs w:val="19"/>
              </w:rPr>
              <w:t xml:space="preserve">3</w:t>
            </w:r>
          </w:p>
        </w:tc>
        <w:tc>
          <w:tcPr>
            <w:tcW w:type="dxa" w:w="3600"/>
            <w:tcMar>
              <w:top w:type="dxa" w:w="60"/>
              <w:left w:type="dxa" w:w="110"/>
              <w:bottom w:type="dxa" w:w="60"/>
              <w:right w:type="dxa" w:w="110"/>
            </w:tcMar>
          </w:tcPr>
          <w:p>
            <w:pPr>
              <w:spacing w:after="0" w:line="240"/>
            </w:pPr>
            <w:r>
              <w:rPr>
                <w:rFonts w:ascii="Calibri" w:cs="Calibri" w:eastAsia="Calibri" w:hAnsi="Calibri"/>
                <w:sz w:val="19"/>
                <w:szCs w:val="19"/>
              </w:rPr>
              <w:t xml:space="preserve">Alerted events to accounts</w:t>
            </w:r>
          </w:p>
        </w:tc>
        <w:tc>
          <w:tcPr>
            <w:tcW w:type="dxa" w:w="5260"/>
            <w:tcMar>
              <w:top w:type="dxa" w:w="60"/>
              <w:left w:type="dxa" w:w="110"/>
              <w:bottom w:type="dxa" w:w="60"/>
              <w:right w:type="dxa" w:w="110"/>
            </w:tcMar>
          </w:tcPr>
          <w:p>
            <w:pPr>
              <w:spacing w:after="0" w:line="240"/>
            </w:pPr>
            <w:r>
              <w:rPr>
                <w:rFonts w:ascii="Calibri" w:cs="Calibri" w:eastAsia="Calibri" w:hAnsi="Calibri"/>
                <w:sz w:val="19"/>
                <w:szCs w:val="19"/>
              </w:rPr>
              <w:t xml:space="preserve">B — DDA ending 7216 had 6; savings ending 5491 had none</w:t>
            </w:r>
          </w:p>
        </w:tc>
      </w:tr>
      <w:tr>
        <w:trPr>
          <w:cantSplit/>
        </w:trPr>
        <w:tc>
          <w:tcPr>
            <w:tcW w:type="dxa" w:w="5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4</w:t>
            </w:r>
          </w:p>
        </w:tc>
        <w:tc>
          <w:tcPr>
            <w:tcW w:type="dxa" w:w="36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Timing pattern</w:t>
            </w:r>
          </w:p>
        </w:tc>
        <w:tc>
          <w:tcPr>
            <w:tcW w:type="dxa" w:w="526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C — Credits accumulated monthly; wire in the final four days</w:t>
            </w:r>
          </w:p>
        </w:tc>
      </w:tr>
      <w:tr>
        <w:trPr>
          <w:cantSplit/>
        </w:trPr>
        <w:tc>
          <w:tcPr>
            <w:tcW w:type="dxa" w:w="500"/>
            <w:tcMar>
              <w:top w:type="dxa" w:w="60"/>
              <w:left w:type="dxa" w:w="110"/>
              <w:bottom w:type="dxa" w:w="60"/>
              <w:right w:type="dxa" w:w="110"/>
            </w:tcMar>
          </w:tcPr>
          <w:p>
            <w:pPr>
              <w:spacing w:after="0" w:line="240"/>
            </w:pPr>
            <w:r>
              <w:rPr>
                <w:rFonts w:ascii="Calibri" w:cs="Calibri" w:eastAsia="Calibri" w:hAnsi="Calibri"/>
                <w:sz w:val="19"/>
                <w:szCs w:val="19"/>
              </w:rPr>
              <w:t xml:space="preserve">5</w:t>
            </w:r>
          </w:p>
        </w:tc>
        <w:tc>
          <w:tcPr>
            <w:tcW w:type="dxa" w:w="3600"/>
            <w:tcMar>
              <w:top w:type="dxa" w:w="60"/>
              <w:left w:type="dxa" w:w="110"/>
              <w:bottom w:type="dxa" w:w="60"/>
              <w:right w:type="dxa" w:w="110"/>
            </w:tcMar>
          </w:tcPr>
          <w:p>
            <w:pPr>
              <w:spacing w:after="0" w:line="240"/>
            </w:pPr>
            <w:r>
              <w:rPr>
                <w:rFonts w:ascii="Calibri" w:cs="Calibri" w:eastAsia="Calibri" w:hAnsi="Calibri"/>
                <w:sz w:val="19"/>
                <w:szCs w:val="19"/>
              </w:rPr>
              <w:t xml:space="preserve">Pass-through nature</w:t>
            </w:r>
          </w:p>
        </w:tc>
        <w:tc>
          <w:tcPr>
            <w:tcW w:type="dxa" w:w="5260"/>
            <w:tcMar>
              <w:top w:type="dxa" w:w="60"/>
              <w:left w:type="dxa" w:w="110"/>
              <w:bottom w:type="dxa" w:w="60"/>
              <w:right w:type="dxa" w:w="110"/>
            </w:tcMar>
          </w:tcPr>
          <w:p>
            <w:pPr>
              <w:spacing w:after="0" w:line="240"/>
            </w:pPr>
            <w:r>
              <w:rPr>
                <w:rFonts w:ascii="Calibri" w:cs="Calibri" w:eastAsia="Calibri" w:hAnsi="Calibri"/>
                <w:sz w:val="19"/>
                <w:szCs w:val="19"/>
              </w:rPr>
              <w:t xml:space="preserve">C — Balance did not retain wired amounts; closed at $2,072.38</w:t>
            </w:r>
          </w:p>
        </w:tc>
      </w:tr>
      <w:tr>
        <w:trPr>
          <w:cantSplit/>
        </w:trPr>
        <w:tc>
          <w:tcPr>
            <w:tcW w:type="dxa" w:w="5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6</w:t>
            </w:r>
          </w:p>
        </w:tc>
        <w:tc>
          <w:tcPr>
            <w:tcW w:type="dxa" w:w="36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SAR product / mechanism</w:t>
            </w:r>
          </w:p>
        </w:tc>
        <w:tc>
          <w:tcPr>
            <w:tcW w:type="dxa" w:w="526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B — Deposit account; funds transfer; U.S. currency</w:t>
            </w:r>
          </w:p>
        </w:tc>
      </w:tr>
      <w:tr>
        <w:trPr>
          <w:cantSplit/>
        </w:trPr>
        <w:tc>
          <w:tcPr>
            <w:tcW w:type="dxa" w:w="500"/>
            <w:tcMar>
              <w:top w:type="dxa" w:w="60"/>
              <w:left w:type="dxa" w:w="110"/>
              <w:bottom w:type="dxa" w:w="60"/>
              <w:right w:type="dxa" w:w="110"/>
            </w:tcMar>
          </w:tcPr>
          <w:p>
            <w:pPr>
              <w:spacing w:after="0" w:line="240"/>
            </w:pPr>
            <w:r>
              <w:rPr>
                <w:rFonts w:ascii="Calibri" w:cs="Calibri" w:eastAsia="Calibri" w:hAnsi="Calibri"/>
                <w:sz w:val="19"/>
                <w:szCs w:val="19"/>
              </w:rPr>
              <w:t xml:space="preserve">7</w:t>
            </w:r>
          </w:p>
        </w:tc>
        <w:tc>
          <w:tcPr>
            <w:tcW w:type="dxa" w:w="3600"/>
            <w:tcMar>
              <w:top w:type="dxa" w:w="60"/>
              <w:left w:type="dxa" w:w="110"/>
              <w:bottom w:type="dxa" w:w="60"/>
              <w:right w:type="dxa" w:w="110"/>
            </w:tcMar>
          </w:tcPr>
          <w:p>
            <w:pPr>
              <w:spacing w:after="0" w:line="240"/>
            </w:pPr>
            <w:r>
              <w:rPr>
                <w:rFonts w:ascii="Calibri" w:cs="Calibri" w:eastAsia="Calibri" w:hAnsi="Calibri"/>
                <w:sz w:val="19"/>
                <w:szCs w:val="19"/>
              </w:rPr>
              <w:t xml:space="preserve">Mitigating facts</w:t>
            </w:r>
          </w:p>
        </w:tc>
        <w:tc>
          <w:tcPr>
            <w:tcW w:type="dxa" w:w="5260"/>
            <w:tcMar>
              <w:top w:type="dxa" w:w="60"/>
              <w:left w:type="dxa" w:w="110"/>
              <w:bottom w:type="dxa" w:w="60"/>
              <w:right w:type="dxa" w:w="110"/>
            </w:tcMar>
          </w:tcPr>
          <w:p>
            <w:pPr>
              <w:spacing w:after="0" w:line="240"/>
            </w:pPr>
            <w:r>
              <w:rPr>
                <w:rFonts w:ascii="Calibri" w:cs="Calibri" w:eastAsia="Calibri" w:hAnsi="Calibri"/>
                <w:sz w:val="19"/>
                <w:szCs w:val="19"/>
              </w:rPr>
              <w:t xml:space="preserve">C — 26 payroll credits and recurring household debits</w:t>
            </w:r>
          </w:p>
        </w:tc>
      </w:tr>
      <w:tr>
        <w:trPr>
          <w:cantSplit/>
        </w:trPr>
        <w:tc>
          <w:tcPr>
            <w:tcW w:type="dxa" w:w="5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8</w:t>
            </w:r>
          </w:p>
        </w:tc>
        <w:tc>
          <w:tcPr>
            <w:tcW w:type="dxa" w:w="36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Key unresolved issue</w:t>
            </w:r>
          </w:p>
        </w:tc>
        <w:tc>
          <w:tcPr>
            <w:tcW w:type="dxa" w:w="526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C — Source of the 72 credits and purpose of the 6 wires</w:t>
            </w:r>
          </w:p>
        </w:tc>
      </w:tr>
      <w:tr>
        <w:trPr>
          <w:cantSplit/>
        </w:trPr>
        <w:tc>
          <w:tcPr>
            <w:tcW w:type="dxa" w:w="500"/>
            <w:tcMar>
              <w:top w:type="dxa" w:w="60"/>
              <w:left w:type="dxa" w:w="110"/>
              <w:bottom w:type="dxa" w:w="60"/>
              <w:right w:type="dxa" w:w="110"/>
            </w:tcMar>
          </w:tcPr>
          <w:p>
            <w:pPr>
              <w:spacing w:after="0" w:line="240"/>
            </w:pPr>
            <w:r>
              <w:rPr>
                <w:rFonts w:ascii="Calibri" w:cs="Calibri" w:eastAsia="Calibri" w:hAnsi="Calibri"/>
                <w:sz w:val="19"/>
                <w:szCs w:val="19"/>
              </w:rPr>
              <w:t xml:space="preserve">9</w:t>
            </w:r>
          </w:p>
        </w:tc>
        <w:tc>
          <w:tcPr>
            <w:tcW w:type="dxa" w:w="3600"/>
            <w:tcMar>
              <w:top w:type="dxa" w:w="60"/>
              <w:left w:type="dxa" w:w="110"/>
              <w:bottom w:type="dxa" w:w="60"/>
              <w:right w:type="dxa" w:w="110"/>
            </w:tcMar>
          </w:tcPr>
          <w:p>
            <w:pPr>
              <w:spacing w:after="0" w:line="240"/>
            </w:pPr>
            <w:r>
              <w:rPr>
                <w:rFonts w:ascii="Calibri" w:cs="Calibri" w:eastAsia="Calibri" w:hAnsi="Calibri"/>
                <w:sz w:val="19"/>
                <w:szCs w:val="19"/>
              </w:rPr>
              <w:t xml:space="preserve">SAR field 29 amount</w:t>
            </w:r>
          </w:p>
        </w:tc>
        <w:tc>
          <w:tcPr>
            <w:tcW w:type="dxa" w:w="5260"/>
            <w:tcMar>
              <w:top w:type="dxa" w:w="60"/>
              <w:left w:type="dxa" w:w="110"/>
              <w:bottom w:type="dxa" w:w="60"/>
              <w:right w:type="dxa" w:w="110"/>
            </w:tcMar>
          </w:tcPr>
          <w:p>
            <w:pPr>
              <w:spacing w:after="0" w:line="240"/>
            </w:pPr>
            <w:r>
              <w:rPr>
                <w:rFonts w:ascii="Calibri" w:cs="Calibri" w:eastAsia="Calibri" w:hAnsi="Calibri"/>
                <w:sz w:val="19"/>
                <w:szCs w:val="19"/>
              </w:rPr>
              <w:t xml:space="preserve">A — 47075</w:t>
            </w:r>
          </w:p>
        </w:tc>
      </w:tr>
      <w:tr>
        <w:trPr>
          <w:cantSplit/>
        </w:trPr>
        <w:tc>
          <w:tcPr>
            <w:tcW w:type="dxa" w:w="5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10</w:t>
            </w:r>
          </w:p>
        </w:tc>
        <w:tc>
          <w:tcPr>
            <w:tcW w:type="dxa" w:w="36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SAR checkbox selection</w:t>
            </w:r>
          </w:p>
        </w:tc>
        <w:tc>
          <w:tcPr>
            <w:tcW w:type="dxa" w:w="526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C — Suspicious EFT/wire transfers; foreign jurisdiction</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7"/>
        <w:szCs w:val="17"/>
      </w:rPr>
      <w:t xml:space="preserve">Case 7 — Andre Nathaniel Pope — Instructor Notes   |   Page </w:t>
    </w:r>
    <w:r>
      <w:rPr>
        <w:rFonts w:ascii="Calibri" w:cs="Calibri" w:eastAsia="Calibri" w:hAnsi="Calibri"/>
        <w:color w:val="8080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2026-10-05T13:53:07.879Z</dcterms:created>
  <dcterms:modified xsi:type="dcterms:W3CDTF">2026-10-05T13:53:07.880Z</dcterms:modified>
</cp:coreProperties>
</file>

<file path=docProps/custom.xml><?xml version="1.0" encoding="utf-8"?>
<Properties xmlns="http://schemas.openxmlformats.org/officeDocument/2006/custom-properties" xmlns:vt="http://schemas.openxmlformats.org/officeDocument/2006/docPropsVTypes"/>
</file>