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B650B" w14:textId="77777777" w:rsidR="00881FD1" w:rsidRDefault="00881FD1" w:rsidP="00881FD1"/>
    <w:p w14:paraId="658050FA" w14:textId="0116506E" w:rsidR="00881FD1" w:rsidRDefault="00881FD1" w:rsidP="00881FD1">
      <w:r>
        <w:t xml:space="preserve">Bank is filing SAR on PARTY NAME(S) to report TYPE OF ACTIVITY between </w:t>
      </w:r>
      <w:r>
        <w:t>03</w:t>
      </w:r>
      <w:r>
        <w:t>/</w:t>
      </w:r>
      <w:r>
        <w:t>01</w:t>
      </w:r>
      <w:r>
        <w:t>/</w:t>
      </w:r>
      <w:r>
        <w:t>2026</w:t>
      </w:r>
      <w:r>
        <w:t xml:space="preserve"> and </w:t>
      </w:r>
      <w:r>
        <w:t>08</w:t>
      </w:r>
      <w:r>
        <w:t>/</w:t>
      </w:r>
      <w:r>
        <w:t>31/2026</w:t>
      </w:r>
      <w:r>
        <w:t xml:space="preserve"> </w:t>
      </w:r>
      <w:proofErr w:type="spellStart"/>
      <w:r w:rsidRPr="000E0D01">
        <w:rPr>
          <w:highlight w:val="yellow"/>
        </w:rPr>
        <w:t>totaling</w:t>
      </w:r>
      <w:proofErr w:type="spellEnd"/>
      <w:r w:rsidRPr="000E0D01">
        <w:rPr>
          <w:highlight w:val="yellow"/>
        </w:rPr>
        <w:t xml:space="preserve"> $226,00000</w:t>
      </w:r>
    </w:p>
    <w:p w14:paraId="06AF7BF0" w14:textId="77777777" w:rsidR="00881FD1" w:rsidRDefault="00881FD1" w:rsidP="00881FD1">
      <w:r>
        <w:t xml:space="preserve">This case was generated due to multiple automated monitoring alerts for large-value international wire transfers from the account of Sandra Whitfield.   </w:t>
      </w:r>
    </w:p>
    <w:p w14:paraId="153255FF" w14:textId="09271D6B" w:rsidR="00881FD1" w:rsidRDefault="00881FD1" w:rsidP="00881FD1">
      <w:r>
        <w:t>An analysis of the client's personal checking account (#2015550187001) was conducted to investigate the activity. The client, Sandra Whitfield, is listed as a Homemaker with no employer of record and no independent declared source of income. The account was opened on 06/12/2019</w:t>
      </w:r>
      <w:r w:rsidR="000E0D01">
        <w:t>.</w:t>
      </w:r>
    </w:p>
    <w:p w14:paraId="4719C6C4" w14:textId="77777777" w:rsidR="00881FD1" w:rsidRDefault="00881FD1" w:rsidP="00881FD1"/>
    <w:p w14:paraId="42EB30B5" w14:textId="5BE35B2F" w:rsidR="00881FD1" w:rsidRDefault="00881FD1" w:rsidP="00881FD1">
      <w:r>
        <w:t xml:space="preserve">Beginning 03/01/2026, the account began receiving </w:t>
      </w:r>
      <w:r w:rsidR="00C868C3">
        <w:t xml:space="preserve">multiple nominal </w:t>
      </w:r>
      <w:r>
        <w:t xml:space="preserve">cash deposits. 36 cash deposits ranging from $1,000 to $2,500 each, </w:t>
      </w:r>
      <w:proofErr w:type="spellStart"/>
      <w:r>
        <w:t>totaling</w:t>
      </w:r>
      <w:proofErr w:type="spellEnd"/>
      <w:r>
        <w:t xml:space="preserve"> $63,000, were made at ATMs and teller windows across ten different branches in northern New Jersey and New York City (e.g., NJ-JCY-01 Jersey City, NJ-NWK-04 Newark, NY-BRK-06 Brooklyn), frequently as many as three deposits in a single week on non-consecutive days. </w:t>
      </w:r>
    </w:p>
    <w:p w14:paraId="53B871FC" w14:textId="77777777" w:rsidR="00881FD1" w:rsidRDefault="00881FD1" w:rsidP="00881FD1"/>
    <w:p w14:paraId="65F9AF67" w14:textId="77777777" w:rsidR="00881FD1" w:rsidRDefault="00881FD1" w:rsidP="00881FD1">
      <w:r>
        <w:t xml:space="preserve">Over the same six-month period the account received 65 recurring third-party credits ranging from $200 to $900 each, </w:t>
      </w:r>
      <w:proofErr w:type="spellStart"/>
      <w:r>
        <w:t>totaling</w:t>
      </w:r>
      <w:proofErr w:type="spellEnd"/>
      <w:r>
        <w:t xml:space="preserve"> $37,000, from at least 22 unrelated individuals by Zelle transfer and mobile check deposit. There is no known family, employment or commercial relationship between the customer and any of these remitters, and the credits recur two to three times per week.</w:t>
      </w:r>
    </w:p>
    <w:p w14:paraId="36CB00F9" w14:textId="77777777" w:rsidR="00881FD1" w:rsidRDefault="00881FD1" w:rsidP="00881FD1"/>
    <w:p w14:paraId="24F12248" w14:textId="77777777" w:rsidR="00881FD1" w:rsidRDefault="00881FD1" w:rsidP="00881FD1">
      <w:r>
        <w:t xml:space="preserve">The account additionally received 15 credits of $1,000 to $1,500 each, </w:t>
      </w:r>
      <w:proofErr w:type="spellStart"/>
      <w:r>
        <w:t>totaling</w:t>
      </w:r>
      <w:proofErr w:type="spellEnd"/>
      <w:r>
        <w:t xml:space="preserve"> $20,000, from virtual asset service providers (Binance.US, Coinbase, Crypto.com). The customer holds no declared investment profile and no source-of-wealth documentation supporting virtual asset activity.</w:t>
      </w:r>
    </w:p>
    <w:p w14:paraId="51BCE51E" w14:textId="77777777" w:rsidR="00881FD1" w:rsidRDefault="00881FD1" w:rsidP="00881FD1"/>
    <w:p w14:paraId="61962A9F" w14:textId="58EDEEA0" w:rsidR="00C868C3" w:rsidRDefault="00C868C3" w:rsidP="00881FD1">
      <w:r w:rsidRPr="00C868C3">
        <w:t>These inflows, categorized as Group 1, total $120,000 over six months and are inconsistent with the customer’s recorded occupation as a Homemaker, with no employer of record or independent declared source of income.</w:t>
      </w:r>
    </w:p>
    <w:p w14:paraId="1B826644" w14:textId="77777777" w:rsidR="00881FD1" w:rsidRDefault="00881FD1" w:rsidP="00881FD1">
      <w:r>
        <w:t xml:space="preserve">The incoming funds are not used for household or living expenses; total debit card spending over the same six months was only $3,633. </w:t>
      </w:r>
      <w:proofErr w:type="gramStart"/>
      <w:r>
        <w:t>Instead</w:t>
      </w:r>
      <w:proofErr w:type="gramEnd"/>
      <w:r>
        <w:t xml:space="preserve"> the balance accumulates and, within two to three days of each accumulation, is moved out of the account in large amounts.</w:t>
      </w:r>
    </w:p>
    <w:p w14:paraId="518D9924" w14:textId="77777777" w:rsidR="00881FD1" w:rsidRDefault="00881FD1" w:rsidP="00881FD1">
      <w:r>
        <w:t xml:space="preserve">The alerted transactions are 8 international wire transfers, categorized as Group 2, </w:t>
      </w:r>
      <w:proofErr w:type="spellStart"/>
      <w:r>
        <w:t>totaling</w:t>
      </w:r>
      <w:proofErr w:type="spellEnd"/>
      <w:r>
        <w:t xml:space="preserve"> $68,000, sent to beneficiaries in recognized tax haven and high-risk jurisdictions:</w:t>
      </w:r>
    </w:p>
    <w:p w14:paraId="4038D305" w14:textId="77777777" w:rsidR="00881FD1" w:rsidRDefault="00881FD1" w:rsidP="00881FD1"/>
    <w:p w14:paraId="5F043198" w14:textId="77777777" w:rsidR="00881FD1" w:rsidRDefault="00881FD1" w:rsidP="00881FD1">
      <w:r>
        <w:t>$6,500 on 03/16/2026 to Blue Harbour Holdings Ltd, Road Town, Tortola, British Virgin Islands (“Consultancy Fee”)</w:t>
      </w:r>
    </w:p>
    <w:p w14:paraId="3EEF78B3" w14:textId="77777777" w:rsidR="00881FD1" w:rsidRDefault="00881FD1" w:rsidP="00881FD1">
      <w:r>
        <w:t>$7,500 on 04/29/2026 to Marcelo Trade Services S.A., Panama City, Panama (“Invoice Settlement”)</w:t>
      </w:r>
    </w:p>
    <w:p w14:paraId="03F634C3" w14:textId="77777777" w:rsidR="00881FD1" w:rsidRDefault="00881FD1" w:rsidP="00881FD1">
      <w:r>
        <w:t xml:space="preserve">$8,000 on 05/18/2026 to </w:t>
      </w:r>
      <w:proofErr w:type="spellStart"/>
      <w:r>
        <w:t>Kyprion</w:t>
      </w:r>
      <w:proofErr w:type="spellEnd"/>
      <w:r>
        <w:t xml:space="preserve"> Aegis Trading Ltd, Limassol, Cyprus (“Advance for Goods”)</w:t>
      </w:r>
    </w:p>
    <w:p w14:paraId="1752C621" w14:textId="77777777" w:rsidR="00881FD1" w:rsidRDefault="00881FD1" w:rsidP="00881FD1">
      <w:r>
        <w:lastRenderedPageBreak/>
        <w:t>$9,000 on 06/01/2026 to Vantage Meridian Consulting Ltd, Road Town, Tortola, British Virgin Islands (“Project Support”)</w:t>
      </w:r>
    </w:p>
    <w:p w14:paraId="5D8796AF" w14:textId="77777777" w:rsidR="00881FD1" w:rsidRDefault="00881FD1" w:rsidP="00881FD1">
      <w:r>
        <w:t>$8,500 on 06/29/2026 to Costa Verde Global Inc, Panama City, Panama (“Trade Advance”)</w:t>
      </w:r>
    </w:p>
    <w:p w14:paraId="35ACA858" w14:textId="77777777" w:rsidR="00881FD1" w:rsidRDefault="00881FD1" w:rsidP="00881FD1">
      <w:r>
        <w:t>$9,500 on 07/15/2026 to Anatolia Bridge Enterprises Ltd, Limassol, Cyprus (“Logistics Settlement”)</w:t>
      </w:r>
    </w:p>
    <w:p w14:paraId="3BC2F99B" w14:textId="77777777" w:rsidR="00881FD1" w:rsidRDefault="00881FD1" w:rsidP="00881FD1">
      <w:r>
        <w:t>$9,000 on 07/28/2026 to Silver Reef Ventures Ltd, Road Town, Tortola, British Virgin Islands (“Equipment Purchase”)</w:t>
      </w:r>
    </w:p>
    <w:p w14:paraId="41EE8DA5" w14:textId="77777777" w:rsidR="00881FD1" w:rsidRDefault="00881FD1" w:rsidP="00881FD1">
      <w:r>
        <w:t xml:space="preserve">$10,000 on 08/15/2026 to Palma Azul </w:t>
      </w:r>
      <w:proofErr w:type="spellStart"/>
      <w:r>
        <w:t>Comercial</w:t>
      </w:r>
      <w:proofErr w:type="spellEnd"/>
      <w:r>
        <w:t xml:space="preserve"> S.A., Panama City, Panama (“Contract Settlement”)</w:t>
      </w:r>
    </w:p>
    <w:p w14:paraId="77BCC0B7" w14:textId="77777777" w:rsidR="00881FD1" w:rsidRDefault="00881FD1" w:rsidP="00881FD1"/>
    <w:p w14:paraId="1F3A1B27" w14:textId="77777777" w:rsidR="00881FD1" w:rsidRDefault="00881FD1" w:rsidP="00881FD1">
      <w:r>
        <w:t>Open-source research on each beneficiary returned no corporate registry record, no website, no domain and no commercial footprint of any kind, meaning the receiving entities cannot be identified or verified. The stated purposes are commercial in nature and bear no logical relationship to a homemaker with no declared business interest.</w:t>
      </w:r>
    </w:p>
    <w:p w14:paraId="13306596" w14:textId="77777777" w:rsidR="00881FD1" w:rsidRDefault="00881FD1" w:rsidP="00881FD1"/>
    <w:p w14:paraId="42B5EABB" w14:textId="77777777" w:rsidR="00881FD1" w:rsidRDefault="00881FD1" w:rsidP="00881FD1">
      <w:r>
        <w:t xml:space="preserve">A further 14 outgoing transfers, categorized as Group 3, </w:t>
      </w:r>
      <w:proofErr w:type="spellStart"/>
      <w:r>
        <w:t>totaling</w:t>
      </w:r>
      <w:proofErr w:type="spellEnd"/>
      <w:r>
        <w:t xml:space="preserve"> $38,000, were sent to individuals who share no name, surname or known relationship with the customer (e.g., Dmitri Volkov, Osei Mensah, Yelena Kravets), carrying narrations such as “Equipment Advance,” “Freight Charges,” “Commission Payment” and “Inventory Purchase” that are equally inconsistent with the customer profile.</w:t>
      </w:r>
    </w:p>
    <w:p w14:paraId="57FAED76" w14:textId="77777777" w:rsidR="00881FD1" w:rsidRDefault="00881FD1" w:rsidP="00881FD1"/>
    <w:p w14:paraId="5074A66D" w14:textId="77777777" w:rsidR="00881FD1" w:rsidRDefault="00881FD1" w:rsidP="00881FD1">
      <w:r>
        <w:t>Combined Group 2 and Group 3 outflows of $106,000 closely track the $120,000 of unexplained credits, leaving only a nominal balance in the account at each cycle.</w:t>
      </w:r>
    </w:p>
    <w:p w14:paraId="26218648" w14:textId="77777777" w:rsidR="00881FD1" w:rsidRDefault="00881FD1" w:rsidP="00881FD1"/>
    <w:p w14:paraId="6F293419" w14:textId="15FB14BC" w:rsidR="00881FD1" w:rsidRDefault="00CA78C9" w:rsidP="00881FD1">
      <w:r w:rsidRPr="00CA78C9">
        <w:t>The activity in this account reflects an unusual pattern of incoming funds from multiple sources followed by significant outgoing transfers to foreign entities and unrelated individuals.</w:t>
      </w:r>
      <w:r>
        <w:t xml:space="preserve"> </w:t>
      </w:r>
      <w:r w:rsidR="00881FD1">
        <w:t xml:space="preserve">The pattern of </w:t>
      </w:r>
      <w:r w:rsidR="000E0D01">
        <w:t>multiple nominal</w:t>
      </w:r>
      <w:r w:rsidR="00881FD1">
        <w:t xml:space="preserve"> cash deposits across multiple branches, recurring small-dollar credits from unrelated third parties and virtual asset service providers, followed within two to three days by the consolidation and transfer of those funds to unidentifiable entities in tax haven jurisdictions and to unrelated individuals, constitutes a significant money laundering red flag. The customer's Homemaker status and absence of any declared income do not support the volume of funds being transacted.</w:t>
      </w:r>
    </w:p>
    <w:p w14:paraId="1AC088EA" w14:textId="77777777" w:rsidR="00881FD1" w:rsidRDefault="00881FD1" w:rsidP="00881FD1"/>
    <w:p w14:paraId="675126C9" w14:textId="77777777" w:rsidR="00881FD1" w:rsidRDefault="00881FD1" w:rsidP="00881FD1">
      <w:r>
        <w:t>Therefore, this activity is deemed suspicious, and it is recommended to file a Suspicious Activity Report (SAR).</w:t>
      </w:r>
    </w:p>
    <w:p w14:paraId="2F49EC8C" w14:textId="77777777" w:rsidR="00881FD1" w:rsidRDefault="00881FD1" w:rsidP="00881FD1"/>
    <w:p w14:paraId="787C3C39" w14:textId="4204968B" w:rsidR="00B36050" w:rsidRPr="00881FD1" w:rsidRDefault="00881FD1" w:rsidP="00881FD1">
      <w:r>
        <w:t>Customer Sandra Whitfield (DOB 03/22/1984) is located in Jersey City, NJ. Internal records list the occupation as Homemaker. Open-source research failed to find any pertinent information.</w:t>
      </w:r>
    </w:p>
    <w:sectPr w:rsidR="00B36050" w:rsidRPr="00881F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FD1"/>
    <w:rsid w:val="000A0C15"/>
    <w:rsid w:val="000E0D01"/>
    <w:rsid w:val="00191A89"/>
    <w:rsid w:val="00881FD1"/>
    <w:rsid w:val="00B36050"/>
    <w:rsid w:val="00BE64BA"/>
    <w:rsid w:val="00C71C31"/>
    <w:rsid w:val="00C868C3"/>
    <w:rsid w:val="00CA78C9"/>
    <w:rsid w:val="00CB6A3D"/>
    <w:rsid w:val="00E94C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54A33"/>
  <w15:chartTrackingRefBased/>
  <w15:docId w15:val="{7567184C-5411-4BE5-ADEB-8A20FAA8D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F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1F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1F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1F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1F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1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F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1F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1F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1F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1F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1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FD1"/>
    <w:rPr>
      <w:rFonts w:eastAsiaTheme="majorEastAsia" w:cstheme="majorBidi"/>
      <w:color w:val="272727" w:themeColor="text1" w:themeTint="D8"/>
    </w:rPr>
  </w:style>
  <w:style w:type="paragraph" w:styleId="Title">
    <w:name w:val="Title"/>
    <w:basedOn w:val="Normal"/>
    <w:next w:val="Normal"/>
    <w:link w:val="TitleChar"/>
    <w:uiPriority w:val="10"/>
    <w:qFormat/>
    <w:rsid w:val="00881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FD1"/>
    <w:pPr>
      <w:spacing w:before="160"/>
      <w:jc w:val="center"/>
    </w:pPr>
    <w:rPr>
      <w:i/>
      <w:iCs/>
      <w:color w:val="404040" w:themeColor="text1" w:themeTint="BF"/>
    </w:rPr>
  </w:style>
  <w:style w:type="character" w:customStyle="1" w:styleId="QuoteChar">
    <w:name w:val="Quote Char"/>
    <w:basedOn w:val="DefaultParagraphFont"/>
    <w:link w:val="Quote"/>
    <w:uiPriority w:val="29"/>
    <w:rsid w:val="00881FD1"/>
    <w:rPr>
      <w:i/>
      <w:iCs/>
      <w:color w:val="404040" w:themeColor="text1" w:themeTint="BF"/>
    </w:rPr>
  </w:style>
  <w:style w:type="paragraph" w:styleId="ListParagraph">
    <w:name w:val="List Paragraph"/>
    <w:basedOn w:val="Normal"/>
    <w:uiPriority w:val="34"/>
    <w:qFormat/>
    <w:rsid w:val="00881FD1"/>
    <w:pPr>
      <w:ind w:left="720"/>
      <w:contextualSpacing/>
    </w:pPr>
  </w:style>
  <w:style w:type="character" w:styleId="IntenseEmphasis">
    <w:name w:val="Intense Emphasis"/>
    <w:basedOn w:val="DefaultParagraphFont"/>
    <w:uiPriority w:val="21"/>
    <w:qFormat/>
    <w:rsid w:val="00881FD1"/>
    <w:rPr>
      <w:i/>
      <w:iCs/>
      <w:color w:val="2F5496" w:themeColor="accent1" w:themeShade="BF"/>
    </w:rPr>
  </w:style>
  <w:style w:type="paragraph" w:styleId="IntenseQuote">
    <w:name w:val="Intense Quote"/>
    <w:basedOn w:val="Normal"/>
    <w:next w:val="Normal"/>
    <w:link w:val="IntenseQuoteChar"/>
    <w:uiPriority w:val="30"/>
    <w:qFormat/>
    <w:rsid w:val="00881F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1FD1"/>
    <w:rPr>
      <w:i/>
      <w:iCs/>
      <w:color w:val="2F5496" w:themeColor="accent1" w:themeShade="BF"/>
    </w:rPr>
  </w:style>
  <w:style w:type="character" w:styleId="IntenseReference">
    <w:name w:val="Intense Reference"/>
    <w:basedOn w:val="DefaultParagraphFont"/>
    <w:uiPriority w:val="32"/>
    <w:qFormat/>
    <w:rsid w:val="00881F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746</Words>
  <Characters>4255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Harivijay Gawade</dc:creator>
  <cp:keywords/>
  <dc:description/>
  <cp:lastModifiedBy>Rahul Harivijay Gawade</cp:lastModifiedBy>
  <cp:revision>1</cp:revision>
  <dcterms:created xsi:type="dcterms:W3CDTF">2026-09-20T20:21:00Z</dcterms:created>
  <dcterms:modified xsi:type="dcterms:W3CDTF">2026-09-20T21:20:00Z</dcterms:modified>
</cp:coreProperties>
</file>