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Presenter Talking Points: Caleb Moreno Case Study</w:t>
      </w:r>
    </w:p>
    <w:p>
      <w:r>
        <w:t>Here are the key points and statistics to cover when presenting the Caleb Moreno case study.</w:t>
      </w:r>
    </w:p>
    <w:p>
      <w:r>
        <w:t>____________________</w:t>
      </w:r>
    </w:p>
    <w:p>
      <w:pPr>
        <w:pStyle w:val="Heading3"/>
      </w:pPr>
      <w:r>
        <w:t>1. The Customer Profile:</w:t>
      </w:r>
    </w:p>
    <w:p>
      <w:pPr>
        <w:pStyle w:val="ListBullet"/>
      </w:pPr>
      <w:r>
        <w:t>Who is Caleb Moreno? A 22-year-old full-time student in Chicago, Illinois, a customer since 08/28/2023 on a personal student checking account.</w:t>
      </w:r>
    </w:p>
    <w:p>
      <w:pPr>
        <w:pStyle w:val="ListBullet"/>
      </w:pPr>
      <w:r>
        <w:t>What's his story? Internal records list his occupation as Student and his employer as Northgate State University - Campus Dining Services, in part-time campus employment. Payroll of $581.30 to $703.95 per month is the only source of income recorded on file. No business account, business interest or self-employment is recorded.</w:t>
      </w:r>
    </w:p>
    <w:p>
      <w:pPr>
        <w:pStyle w:val="ListBullet"/>
      </w:pPr>
      <w:r>
        <w:t>Key Expectation: For a student on part-time campus wages we would expect small payroll credits, rent, groceries, a phone bill and transit spending. Repeated five-figure currency deposits and four-figure transfers to unrelated adults are immediate red flags.</w:t>
      </w:r>
    </w:p>
    <w:p>
      <w:pPr>
        <w:pStyle w:val="Heading3"/>
      </w:pPr>
      <w:r>
        <w:t>2. The Alert:</w:t>
      </w:r>
    </w:p>
    <w:p>
      <w:pPr>
        <w:pStyle w:val="ListBullet"/>
      </w:pPr>
      <w:r>
        <w:t>The Trigger: The case was flagged for 5 currency deposits totalling $44,700.00, each between $8,850.00 and $9,000.00 and each below the $10,000 currency transaction reporting threshold.</w:t>
      </w:r>
    </w:p>
    <w:p>
      <w:pPr>
        <w:pStyle w:val="ListBullet"/>
      </w:pPr>
      <w:r>
        <w:t>The Core Conflict: A student whose recorded income for six months is $3,898.20 deposited $44,700.00 in currency at five different banking locations across two states, and moved $43,500.00 of it out by person-to-person transfer to three individuals with no recorded relationship to him - the first transfer coming two days after each deposit.</w:t>
      </w:r>
    </w:p>
    <w:p>
      <w:pPr>
        <w:pStyle w:val="Heading3"/>
      </w:pPr>
      <w:r>
        <w:t>3. The Investigation:</w:t>
      </w:r>
    </w:p>
    <w:p>
      <w:pPr>
        <w:pStyle w:val="Heading4"/>
      </w:pPr>
      <w:r>
        <w:t>The Inflows: Payroll, and Five Deposits Kept Under the Threshold</w:t>
      </w:r>
    </w:p>
    <w:p>
      <w:r>
        <w:t>The account is funded from two streams. One is the recorded campus payroll. The other has no support anywhere in the customer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Inflow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Amount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Number of Transactions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Sources / Locations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Insight</w:t>
            </w:r>
          </w:p>
        </w:tc>
      </w:tr>
      <w:tr>
        <w:tc>
          <w:tcPr>
            <w:tcW w:type="dxa" w:w="1728"/>
          </w:tcPr>
          <w:p>
            <w:r>
              <w:t>Currency deposits</w:t>
            </w:r>
          </w:p>
        </w:tc>
        <w:tc>
          <w:tcPr>
            <w:tcW w:type="dxa" w:w="1728"/>
          </w:tcPr>
          <w:p>
            <w:r>
              <w:t>$44,700.00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Five banking locations in Chicago and Evanston, Skokie (IL) and Hammond (IN)</w:t>
            </w:r>
          </w:p>
        </w:tc>
        <w:tc>
          <w:tcPr>
            <w:tcW w:type="dxa" w:w="1728"/>
          </w:tcPr>
          <w:p>
            <w:r>
              <w:t>Each deposit $8,850.00 to $9,000.00 - all below the $10,000 CTR threshold, and no two made at the same location.</w:t>
            </w:r>
          </w:p>
        </w:tc>
      </w:tr>
      <w:tr>
        <w:tc>
          <w:tcPr>
            <w:tcW w:type="dxa" w:w="1728"/>
          </w:tcPr>
          <w:p>
            <w:r>
              <w:t>Payroll credits</w:t>
            </w:r>
          </w:p>
        </w:tc>
        <w:tc>
          <w:tcPr>
            <w:tcW w:type="dxa" w:w="1728"/>
          </w:tcPr>
          <w:p>
            <w:r>
              <w:t>$3,898.20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Northgate State University - Campus Dining Services (ACH)</w:t>
            </w:r>
          </w:p>
        </w:tc>
        <w:tc>
          <w:tcPr>
            <w:tcW w:type="dxa" w:w="1728"/>
          </w:tcPr>
          <w:p>
            <w:r>
              <w:t>$581.30 to $703.95 per month - the only source of income recorded on file.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 Inflows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$48,598.20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The currency deposits alone are roughly 11.5 times the customer’s recorded income for the period.</w:t>
            </w:r>
          </w:p>
        </w:tc>
      </w:tr>
    </w:tbl>
    <w:p>
      <w:pPr>
        <w:pStyle w:val="Heading4"/>
      </w:pPr>
      <w:r>
        <w:t>The Outflows: Living Costs, and Twelve Transfers to Three People</w:t>
      </w:r>
    </w:p>
    <w:p>
      <w:r>
        <w:t>Living costs over the six months come to $5,117.32 across 13 debits: 6 rent payments of $725.00 to Granville Court Apartments ($4,350.00), 2 T-Mobile bills of $65.00 ($130.00), 3 Jewel-Osco grocery purchases ($347.47), one bookstore purchase of $214.85 and one CTA Ventra transit purchase of $75.00. Everything else leaves by Zelle.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Cycle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Deposit - date, amount, location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Transfers out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out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Days to clear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Balance after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03/17/2026 - $8,900.00 - IL-CHI-07, Chicago</w:t>
            </w:r>
          </w:p>
        </w:tc>
        <w:tc>
          <w:tcPr>
            <w:tcW w:type="dxa" w:w="1440"/>
          </w:tcPr>
          <w:p>
            <w:r>
              <w:t>3 (03/19, 03/20, 03/23)</w:t>
            </w:r>
          </w:p>
        </w:tc>
        <w:tc>
          <w:tcPr>
            <w:tcW w:type="dxa" w:w="1440"/>
          </w:tcPr>
          <w:p>
            <w:r>
              <w:t>$8,700.00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$1,238.20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04/21/2026 - $8,950.00 - IL-EVN-02, Evanston</w:t>
            </w:r>
          </w:p>
        </w:tc>
        <w:tc>
          <w:tcPr>
            <w:tcW w:type="dxa" w:w="1440"/>
          </w:tcPr>
          <w:p>
            <w:r>
              <w:t>3 (04/23, 04/24, 04/27)</w:t>
            </w:r>
          </w:p>
        </w:tc>
        <w:tc>
          <w:tcPr>
            <w:tcW w:type="dxa" w:w="1440"/>
          </w:tcPr>
          <w:p>
            <w:r>
              <w:t>$8,800.00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$942.68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05/19/2026 - $9,000.00 - IL-CHI-11, Chicago</w:t>
            </w:r>
          </w:p>
        </w:tc>
        <w:tc>
          <w:tcPr>
            <w:tcW w:type="dxa" w:w="1440"/>
          </w:tcPr>
          <w:p>
            <w:r>
              <w:t>2 (05/21, 05/26)</w:t>
            </w:r>
          </w:p>
        </w:tc>
        <w:tc>
          <w:tcPr>
            <w:tcW w:type="dxa" w:w="1440"/>
          </w:tcPr>
          <w:p>
            <w:r>
              <w:t>$8,700.00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$1,147.08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06/23/2026 - $8,850.00 - IL-SKO-03, Skokie</w:t>
            </w:r>
          </w:p>
        </w:tc>
        <w:tc>
          <w:tcPr>
            <w:tcW w:type="dxa" w:w="1440"/>
          </w:tcPr>
          <w:p>
            <w:r>
              <w:t>2 (06/25, 06/29)</w:t>
            </w:r>
          </w:p>
        </w:tc>
        <w:tc>
          <w:tcPr>
            <w:tcW w:type="dxa" w:w="1440"/>
          </w:tcPr>
          <w:p>
            <w:r>
              <w:t>$8,550.00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$1,207.03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07/21/2026 - $9,000.00 - IN-HMD-01, Hammond</w:t>
            </w:r>
          </w:p>
        </w:tc>
        <w:tc>
          <w:tcPr>
            <w:tcW w:type="dxa" w:w="1440"/>
          </w:tcPr>
          <w:p>
            <w:r>
              <w:t>2 (07/23, 07/27)</w:t>
            </w:r>
          </w:p>
        </w:tc>
        <w:tc>
          <w:tcPr>
            <w:tcW w:type="dxa" w:w="1440"/>
          </w:tcPr>
          <w:p>
            <w:r>
              <w:t>$8,750.00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$1,360.98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$44,700.00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12 transfers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$43,500.00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$1,200.00 retained</w:t>
            </w:r>
          </w:p>
        </w:tc>
      </w:tr>
    </w:tbl>
    <w:p>
      <w:r>
        <w:t>All twelve transfers go to the same three people: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Transfers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Amounts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Relationship on file</w:t>
            </w:r>
          </w:p>
        </w:tc>
      </w:tr>
      <w:tr>
        <w:tc>
          <w:tcPr>
            <w:tcW w:type="dxa" w:w="1728"/>
          </w:tcPr>
          <w:p>
            <w:r>
              <w:t>Ruslan Akhmedov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$3,600.00 / $3,400.00 / $4,400.00 / $4,250.00</w:t>
            </w:r>
          </w:p>
        </w:tc>
        <w:tc>
          <w:tcPr>
            <w:tcW w:type="dxa" w:w="1728"/>
          </w:tcPr>
          <w:p>
            <w:r>
              <w:t>$15,650.00</w:t>
            </w:r>
          </w:p>
        </w:tc>
        <w:tc>
          <w:tcPr>
            <w:tcW w:type="dxa" w:w="1728"/>
          </w:tcPr>
          <w:p>
            <w:r>
              <w:t>None recorded</w:t>
            </w:r>
          </w:p>
        </w:tc>
      </w:tr>
      <w:tr>
        <w:tc>
          <w:tcPr>
            <w:tcW w:type="dxa" w:w="1728"/>
          </w:tcPr>
          <w:p>
            <w:r>
              <w:t>Ifeanyi Okonkwo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$2,900.00 / $3,100.00 / $4,300.00 / $4,350.00</w:t>
            </w:r>
          </w:p>
        </w:tc>
        <w:tc>
          <w:tcPr>
            <w:tcW w:type="dxa" w:w="1728"/>
          </w:tcPr>
          <w:p>
            <w:r>
              <w:t>$14,650.00</w:t>
            </w:r>
          </w:p>
        </w:tc>
        <w:tc>
          <w:tcPr>
            <w:tcW w:type="dxa" w:w="1728"/>
          </w:tcPr>
          <w:p>
            <w:r>
              <w:t>None recorded</w:t>
            </w:r>
          </w:p>
        </w:tc>
      </w:tr>
      <w:tr>
        <w:tc>
          <w:tcPr>
            <w:tcW w:type="dxa" w:w="1728"/>
          </w:tcPr>
          <w:p>
            <w:r>
              <w:t>Dariusz Kaminski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$2,200.00 / $2,300.00 / $4,300.00 / $4,400.00</w:t>
            </w:r>
          </w:p>
        </w:tc>
        <w:tc>
          <w:tcPr>
            <w:tcW w:type="dxa" w:w="1728"/>
          </w:tcPr>
          <w:p>
            <w:r>
              <w:t>$13,200.00</w:t>
            </w:r>
          </w:p>
        </w:tc>
        <w:tc>
          <w:tcPr>
            <w:tcW w:type="dxa" w:w="1728"/>
          </w:tcPr>
          <w:p>
            <w:r>
              <w:t>None recorded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$43,500.00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</w:tr>
    </w:tbl>
    <w:p>
      <w:r>
        <w:t>The Red Flags:</w:t>
      </w:r>
    </w:p>
    <w:p>
      <w:pPr>
        <w:pStyle w:val="ListBullet"/>
      </w:pPr>
      <w:r>
        <w:t>Deposits Kept Below the Reporting Threshold: Five deposits of $8,850.00 to $9,000.00, none of which triggers a currency transaction report.</w:t>
      </w:r>
    </w:p>
    <w:p>
      <w:pPr>
        <w:pStyle w:val="ListBullet"/>
      </w:pPr>
      <w:r>
        <w:t>Multiple Transaction Locations: Five deposits, five different banking locations, four cities and two states - none of them the customer’s recorded home or campus.</w:t>
      </w:r>
    </w:p>
    <w:p>
      <w:pPr>
        <w:pStyle w:val="ListBullet"/>
      </w:pPr>
      <w:r>
        <w:t>Income That Cannot Support the Activity: Recorded income of $3,898.20 for six months against $44,700.00 in currency deposited.</w:t>
      </w:r>
    </w:p>
    <w:p>
      <w:pPr>
        <w:pStyle w:val="ListBullet"/>
      </w:pPr>
      <w:r>
        <w:t>Rapid Dispersal: The first transfer follows each deposit by two days, and each cycle is fully cleared within six to seven days.</w:t>
      </w:r>
    </w:p>
    <w:p>
      <w:pPr>
        <w:pStyle w:val="ListBullet"/>
      </w:pPr>
      <w:r>
        <w:t>Concentration on Three Unrelated Recipients: All twelve transfers go to Ruslan Akhmedov, Ifeanyi Okonkwo and Dariusz Kaminski, none of whom has any family, employment or commercial relationship to the customer on file.</w:t>
      </w:r>
    </w:p>
    <w:p>
      <w:pPr>
        <w:pStyle w:val="ListBullet"/>
      </w:pPr>
      <w:r>
        <w:t>Funds Not Used by the Customer: The balance returns to between $942.68 and $1,360.98 after every cycle; only $1,200.00 of the $44,700.00 stays in the account across the whole period.</w:t>
      </w:r>
    </w:p>
    <w:p>
      <w:pPr>
        <w:pStyle w:val="ListBullet"/>
      </w:pPr>
      <w:r>
        <w:t>No Source-of-Funds Documentation: The bank holds nothing supporting currency deposits of this size, and open-source research returned nothing on any of the three recipients.</w:t>
      </w:r>
    </w:p>
    <w:p>
      <w:pPr>
        <w:pStyle w:val="Heading3"/>
      </w:pPr>
      <w:r>
        <w:t>4. Conclusion for the Case Study</w:t>
      </w:r>
    </w:p>
    <w:p>
      <w:pPr>
        <w:pStyle w:val="ListBullet"/>
      </w:pPr>
      <w:r>
        <w:t>The Verdict: This is a Suspicious Activity Report (SAR) filing for structuring of currency deposits and dispersal through a personal account.</w:t>
      </w:r>
    </w:p>
    <w:p>
      <w:pPr>
        <w:pStyle w:val="ListBullet"/>
      </w:pPr>
      <w:r>
        <w:t>Amount involved: the SAR is completed on the $44,700.00 of currency deposited into the account; the $43,500.00 of outgoing transfers is the same money leaving and is described in the narrative rather than added to the reported amount.</w:t>
      </w:r>
    </w:p>
    <w:p>
      <w:pPr>
        <w:pStyle w:val="ListBullet"/>
      </w:pPr>
      <w:r>
        <w:t>Date range: 03/17/2026 to 07/27/2026 - the first deposit to the last transfer, not the review period and not the case open date.</w:t>
      </w:r>
    </w:p>
    <w:p>
      <w:pPr>
        <w:pStyle w:val="ListBullet"/>
      </w:pPr>
      <w:r>
        <w:t>The Lesson: The deposit amounts are the tell. $8,850 to $9,000, five times over, at five locations, is a pattern of avoidance rather than a coincidence of convenience.</w:t>
      </w:r>
    </w:p>
    <w:p>
      <w:r>
        <w:t>Key takeaways are:</w:t>
      </w:r>
    </w:p>
    <w:p>
      <w:pPr>
        <w:pStyle w:val="ListBullet"/>
      </w:pPr>
      <w:r>
        <w:t>Amounts that sit just under a reporting threshold, repeatedly, are a finding in themselves - look at the distance from the threshold, not just the size of the deposit.</w:t>
      </w:r>
    </w:p>
    <w:p>
      <w:pPr>
        <w:pStyle w:val="ListBullet"/>
      </w:pPr>
      <w:r>
        <w:t>Count the locations. Deposits spread across branches, cities and states where the customer neither lives nor studies point to structuring rather than convenience.</w:t>
      </w:r>
    </w:p>
    <w:p>
      <w:pPr>
        <w:pStyle w:val="ListBullet"/>
      </w:pPr>
      <w:r>
        <w:t>A small number of transactions can still be a strong case. Five deposits and twelve transfers were enough here, because the pattern is consistent across every cycle.</w:t>
      </w:r>
    </w:p>
    <w:p>
      <w:pPr>
        <w:pStyle w:val="ListBullet"/>
      </w:pPr>
      <w:r>
        <w:t>Where the money goes matters as much as where it comes from. Repeat transfers to a fixed set of unrelated individuals indicate the account holder is a conduit.</w:t>
      </w:r>
    </w:p>
    <w:p>
      <w:pPr>
        <w:pStyle w:val="ListBullet"/>
      </w:pPr>
      <w:r>
        <w:t>Discussion Question: "No currency transaction report was ever triggered on this account. Why is that a reason to look harder rather than a reason to close the alert?" (Answer: the absence of a CTR is a consequence of the deposit amounts chosen, not evidence that the activity is ordinary; deposits repeatedly set just below the threshold are what the structuring provisions exist to catch.)</w:t>
      </w:r>
    </w:p>
    <w:sectPr w:rsidR="009F58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40686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744173"/>
    <w:multiLevelType w:val="hybridMultilevel"/>
    <w:tmpl w:val="74FA2652"/>
    <w:lvl w:ilvl="0" w:tplc="7A9402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7203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8EC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614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F4F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30BA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267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888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823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1B516"/>
    <w:multiLevelType w:val="hybridMultilevel"/>
    <w:tmpl w:val="E43A0296"/>
    <w:lvl w:ilvl="0" w:tplc="75BE930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E3AE9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D8C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107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B4D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D29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5806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AC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C05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9E0E7C"/>
    <w:multiLevelType w:val="hybridMultilevel"/>
    <w:tmpl w:val="13226A70"/>
    <w:lvl w:ilvl="0" w:tplc="CE9E1C38">
      <w:start w:val="1"/>
      <w:numFmt w:val="decimal"/>
      <w:lvlText w:val="%1."/>
      <w:lvlJc w:val="left"/>
      <w:pPr>
        <w:ind w:left="720" w:hanging="360"/>
      </w:pPr>
    </w:lvl>
    <w:lvl w:ilvl="1" w:tplc="DBACF1E0">
      <w:start w:val="1"/>
      <w:numFmt w:val="lowerLetter"/>
      <w:lvlText w:val="%2."/>
      <w:lvlJc w:val="left"/>
      <w:pPr>
        <w:ind w:left="1440" w:hanging="360"/>
      </w:pPr>
    </w:lvl>
    <w:lvl w:ilvl="2" w:tplc="DD361994">
      <w:start w:val="1"/>
      <w:numFmt w:val="lowerRoman"/>
      <w:lvlText w:val="%3."/>
      <w:lvlJc w:val="right"/>
      <w:pPr>
        <w:ind w:left="2160" w:hanging="180"/>
      </w:pPr>
    </w:lvl>
    <w:lvl w:ilvl="3" w:tplc="B630C3D6">
      <w:start w:val="1"/>
      <w:numFmt w:val="decimal"/>
      <w:lvlText w:val="%4."/>
      <w:lvlJc w:val="left"/>
      <w:pPr>
        <w:ind w:left="2880" w:hanging="360"/>
      </w:pPr>
    </w:lvl>
    <w:lvl w:ilvl="4" w:tplc="8842E440">
      <w:start w:val="1"/>
      <w:numFmt w:val="lowerLetter"/>
      <w:lvlText w:val="%5."/>
      <w:lvlJc w:val="left"/>
      <w:pPr>
        <w:ind w:left="3600" w:hanging="360"/>
      </w:pPr>
    </w:lvl>
    <w:lvl w:ilvl="5" w:tplc="2B68932A">
      <w:start w:val="1"/>
      <w:numFmt w:val="lowerRoman"/>
      <w:lvlText w:val="%6."/>
      <w:lvlJc w:val="right"/>
      <w:pPr>
        <w:ind w:left="4320" w:hanging="180"/>
      </w:pPr>
    </w:lvl>
    <w:lvl w:ilvl="6" w:tplc="19BEFF32">
      <w:start w:val="1"/>
      <w:numFmt w:val="decimal"/>
      <w:lvlText w:val="%7."/>
      <w:lvlJc w:val="left"/>
      <w:pPr>
        <w:ind w:left="5040" w:hanging="360"/>
      </w:pPr>
    </w:lvl>
    <w:lvl w:ilvl="7" w:tplc="C218A592">
      <w:start w:val="1"/>
      <w:numFmt w:val="lowerLetter"/>
      <w:lvlText w:val="%8."/>
      <w:lvlJc w:val="left"/>
      <w:pPr>
        <w:ind w:left="5760" w:hanging="360"/>
      </w:pPr>
    </w:lvl>
    <w:lvl w:ilvl="8" w:tplc="5FB4E290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663660">
    <w:abstractNumId w:val="10"/>
  </w:num>
  <w:num w:numId="2" w16cid:durableId="533005916">
    <w:abstractNumId w:val="11"/>
  </w:num>
  <w:num w:numId="3" w16cid:durableId="850068737">
    <w:abstractNumId w:val="9"/>
  </w:num>
  <w:num w:numId="4" w16cid:durableId="1235506466">
    <w:abstractNumId w:val="8"/>
  </w:num>
  <w:num w:numId="5" w16cid:durableId="1076635934">
    <w:abstractNumId w:val="6"/>
  </w:num>
  <w:num w:numId="6" w16cid:durableId="389228269">
    <w:abstractNumId w:val="5"/>
  </w:num>
  <w:num w:numId="7" w16cid:durableId="432676883">
    <w:abstractNumId w:val="4"/>
  </w:num>
  <w:num w:numId="8" w16cid:durableId="1251894360">
    <w:abstractNumId w:val="7"/>
  </w:num>
  <w:num w:numId="9" w16cid:durableId="597099885">
    <w:abstractNumId w:val="3"/>
  </w:num>
  <w:num w:numId="10" w16cid:durableId="388696323">
    <w:abstractNumId w:val="2"/>
  </w:num>
  <w:num w:numId="11" w16cid:durableId="1534927903">
    <w:abstractNumId w:val="1"/>
  </w:num>
  <w:num w:numId="12" w16cid:durableId="1518696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6A2"/>
    <w:rsid w:val="000F23D3"/>
    <w:rsid w:val="00131C8A"/>
    <w:rsid w:val="0015074B"/>
    <w:rsid w:val="00185A01"/>
    <w:rsid w:val="0029639D"/>
    <w:rsid w:val="00326F90"/>
    <w:rsid w:val="00473506"/>
    <w:rsid w:val="006410C9"/>
    <w:rsid w:val="00680F42"/>
    <w:rsid w:val="006A1C6B"/>
    <w:rsid w:val="007759E4"/>
    <w:rsid w:val="007E16DF"/>
    <w:rsid w:val="009F580A"/>
    <w:rsid w:val="00A202D2"/>
    <w:rsid w:val="00A46BC8"/>
    <w:rsid w:val="00AA1D8D"/>
    <w:rsid w:val="00B47730"/>
    <w:rsid w:val="00B553F3"/>
    <w:rsid w:val="00BE2060"/>
    <w:rsid w:val="00BE77A0"/>
    <w:rsid w:val="00CB0664"/>
    <w:rsid w:val="00CB6A3D"/>
    <w:rsid w:val="00CD7EB6"/>
    <w:rsid w:val="00EB67A6"/>
    <w:rsid w:val="00FC693F"/>
    <w:rsid w:val="240FF933"/>
    <w:rsid w:val="3909DCC2"/>
    <w:rsid w:val="411C8752"/>
    <w:rsid w:val="45199465"/>
    <w:rsid w:val="4C7D95B6"/>
    <w:rsid w:val="51F5B165"/>
    <w:rsid w:val="6252B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63A13"/>
  <w14:defaultImageDpi w14:val="300"/>
  <w15:docId w15:val="{ECD8E33D-49C4-4FDB-A254-93C8ECF0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8B24D870E2CF4480FB58B8A4C8E582" ma:contentTypeVersion="3" ma:contentTypeDescription="Create a new document." ma:contentTypeScope="" ma:versionID="22d3030a0d7f1392f4e6226949aaf978">
  <xsd:schema xmlns:xsd="http://www.w3.org/2001/XMLSchema" xmlns:xs="http://www.w3.org/2001/XMLSchema" xmlns:p="http://schemas.microsoft.com/office/2006/metadata/properties" xmlns:ns2="9b7a0682-08ca-4e5a-a35e-d8d8ffefe728" targetNamespace="http://schemas.microsoft.com/office/2006/metadata/properties" ma:root="true" ma:fieldsID="c3d8606d6a6666a08a669719a982e26f" ns2:_="">
    <xsd:import namespace="9b7a0682-08ca-4e5a-a35e-d8d8ffefe7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a0682-08ca-4e5a-a35e-d8d8ffefe7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789A6D-CD40-425B-B15A-4F6BA29421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7a0682-08ca-4e5a-a35e-d8d8ffefe7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CBA4FB-33D0-433A-B572-11809CFC4D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570BA0-4E80-4301-AA96-D2D095BCED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1035</Words>
  <Characters>5530</Characters>
  <Application>Microsoft Office Word</Application>
  <DocSecurity>0</DocSecurity>
  <Lines>240</Lines>
  <Paragraphs>119</Paragraphs>
  <ScaleCrop>false</ScaleCrop>
  <Manager/>
  <Company/>
  <LinksUpToDate>false</LinksUpToDate>
  <CharactersWithSpaces>6446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t23977</cp:lastModifiedBy>
  <cp:revision>2</cp:revision>
  <dcterms:created xsi:type="dcterms:W3CDTF">2026-09-21T03:47:00Z</dcterms:created>
  <dcterms:modified xsi:type="dcterms:W3CDTF">2026-09-21T03:47:00Z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0x010100248B24D870E2CF4480FB58B8A4C8E582</vt:lpwstr>
  </property>
</Properties>
</file>