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Presenter Talking Points: Anita Sharma Case Study</w:t>
      </w:r>
    </w:p>
    <w:p>
      <w:r>
        <w:t>Here are the key points and statistics to cover when presenting the Anita Sharma small case study. This is a no-SAR case: the alert is real, the analysis is thorough, and the conclusion is to close.</w:t>
      </w:r>
    </w:p>
    <w:p>
      <w:r>
        <w:t>____________________</w:t>
      </w:r>
    </w:p>
    <w:p>
      <w:pPr>
        <w:pStyle w:val="Heading3"/>
      </w:pPr>
      <w:r>
        <w:t>1. The Customer Profile:</w:t>
      </w:r>
    </w:p>
    <w:p>
      <w:pPr>
        <w:pStyle w:val="ListBullet"/>
      </w:pPr>
      <w:r>
        <w:t>Who is Anita Sharma? A 39-year-old homemaker in Edison, New Jersey, a customer since 11/15/2016.</w:t>
      </w:r>
    </w:p>
    <w:p>
      <w:pPr>
        <w:pStyle w:val="ListBullet"/>
      </w:pPr>
      <w:r>
        <w:t>What's her story? Internal records list her occupation as Homemaker with no employer of record. The account runs on a monthly Zelle transfer of $2,400.00 from her spouse, Rajesh Sharma, and grocery spending at Costco and ShopRite. There is no currency activity on the account at all.</w:t>
      </w:r>
    </w:p>
    <w:p>
      <w:pPr>
        <w:pStyle w:val="ListBullet"/>
      </w:pPr>
      <w:r>
        <w:t>Key Expectation: For this profile we would expect a single household funding source in, grocery and household spending out, and a modest balance. Seven third-party credits in twenty days followed by a $40,000.00 wire is exactly what a monitoring system should alert on.</w:t>
      </w:r>
    </w:p>
    <w:p>
      <w:pPr>
        <w:pStyle w:val="Heading3"/>
      </w:pPr>
      <w:r>
        <w:t>2. The Alert:</w:t>
      </w:r>
    </w:p>
    <w:p>
      <w:pPr>
        <w:pStyle w:val="ListBullet"/>
      </w:pPr>
      <w:r>
        <w:t>The Trigger: Seven third-party credits totalling $38,000.00 received between 06/02/2026 and 06/22/2026, followed by a single outgoing wire of $40,000.00 on 06/26/2026.</w:t>
      </w:r>
    </w:p>
    <w:p>
      <w:pPr>
        <w:pStyle w:val="ListBullet"/>
      </w:pPr>
      <w:r>
        <w:t>Why It Looks Like a Case: On the alert screen alone this reads as rapid accumulation from multiple third parties followed by consolidation and exit - the same shape as a funnel account. The point of the exercise is that shape is not evidence. What the analyst does next decides the case.</w:t>
      </w:r>
    </w:p>
    <w:p>
      <w:pPr>
        <w:pStyle w:val="Heading3"/>
      </w:pPr>
      <w:r>
        <w:t>3. The Investigation:</w:t>
      </w:r>
    </w:p>
    <w:p>
      <w:pPr>
        <w:pStyle w:val="Heading4"/>
      </w:pPr>
      <w:r>
        <w:t>The Inflows: Seven Named Family Remitters</w:t>
      </w:r>
    </w:p>
    <w:p>
      <w:r>
        <w:t>Every credit is identified. Every one carries a narration stating the same purpose. None arrived in currency.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Date</w:t>
            </w:r>
          </w:p>
        </w:tc>
        <w:tc>
          <w:tcPr>
            <w:tcW w:type="dxa" w:w="1728"/>
          </w:tcPr>
          <w:p>
            <w:r>
              <w:rPr>
                <w:b/>
              </w:rPr>
              <w:t>Amount</w:t>
            </w:r>
          </w:p>
        </w:tc>
        <w:tc>
          <w:tcPr>
            <w:tcW w:type="dxa" w:w="1728"/>
          </w:tcPr>
          <w:p>
            <w:r>
              <w:rPr>
                <w:b/>
              </w:rPr>
              <w:t>Remitter</w:t>
            </w:r>
          </w:p>
        </w:tc>
        <w:tc>
          <w:tcPr>
            <w:tcW w:type="dxa" w:w="1728"/>
          </w:tcPr>
          <w:p>
            <w:r>
              <w:rPr>
                <w:b/>
              </w:rPr>
              <w:t>Remitting Bank</w:t>
            </w:r>
          </w:p>
        </w:tc>
        <w:tc>
          <w:tcPr>
            <w:tcW w:type="dxa" w:w="1728"/>
          </w:tcPr>
          <w:p>
            <w:r>
              <w:rPr>
                <w:b/>
              </w:rPr>
              <w:t>Narration</w:t>
            </w:r>
          </w:p>
        </w:tc>
      </w:tr>
      <w:tr>
        <w:tc>
          <w:tcPr>
            <w:tcW w:type="dxa" w:w="1728"/>
          </w:tcPr>
          <w:p>
            <w:r>
              <w:t>06/02/2026</w:t>
            </w:r>
          </w:p>
        </w:tc>
        <w:tc>
          <w:tcPr>
            <w:tcW w:type="dxa" w:w="1728"/>
          </w:tcPr>
          <w:p>
            <w:r>
              <w:t>$7,500.00</w:t>
            </w:r>
          </w:p>
        </w:tc>
        <w:tc>
          <w:tcPr>
            <w:tcW w:type="dxa" w:w="1728"/>
          </w:tcPr>
          <w:p>
            <w:r>
              <w:t>Mahesh Sharma</w:t>
            </w:r>
          </w:p>
        </w:tc>
        <w:tc>
          <w:tcPr>
            <w:tcW w:type="dxa" w:w="1728"/>
          </w:tcPr>
          <w:p>
            <w:r>
              <w:t>Wells Fargo</w:t>
            </w:r>
          </w:p>
        </w:tc>
        <w:tc>
          <w:tcPr>
            <w:tcW w:type="dxa" w:w="1728"/>
          </w:tcPr>
          <w:p>
            <w:r>
              <w:t>"Property purchase contribution"</w:t>
            </w:r>
          </w:p>
        </w:tc>
      </w:tr>
      <w:tr>
        <w:tc>
          <w:tcPr>
            <w:tcW w:type="dxa" w:w="1728"/>
          </w:tcPr>
          <w:p>
            <w:r>
              <w:t>06/04/2026</w:t>
            </w:r>
          </w:p>
        </w:tc>
        <w:tc>
          <w:tcPr>
            <w:tcW w:type="dxa" w:w="1728"/>
          </w:tcPr>
          <w:p>
            <w:r>
              <w:t>$5,000.00</w:t>
            </w:r>
          </w:p>
        </w:tc>
        <w:tc>
          <w:tcPr>
            <w:tcW w:type="dxa" w:w="1728"/>
          </w:tcPr>
          <w:p>
            <w:r>
              <w:t>Sunita Sharma</w:t>
            </w:r>
          </w:p>
        </w:tc>
        <w:tc>
          <w:tcPr>
            <w:tcW w:type="dxa" w:w="1728"/>
          </w:tcPr>
          <w:p>
            <w:r>
              <w:t>JPMorgan Chase</w:t>
            </w:r>
          </w:p>
        </w:tc>
        <w:tc>
          <w:tcPr>
            <w:tcW w:type="dxa" w:w="1728"/>
          </w:tcPr>
          <w:p>
            <w:r>
              <w:t>"Towards property purchase"</w:t>
            </w:r>
          </w:p>
        </w:tc>
      </w:tr>
      <w:tr>
        <w:tc>
          <w:tcPr>
            <w:tcW w:type="dxa" w:w="1728"/>
          </w:tcPr>
          <w:p>
            <w:r>
              <w:t>06/08/2026</w:t>
            </w:r>
          </w:p>
        </w:tc>
        <w:tc>
          <w:tcPr>
            <w:tcW w:type="dxa" w:w="1728"/>
          </w:tcPr>
          <w:p>
            <w:r>
              <w:t>$6,500.00</w:t>
            </w:r>
          </w:p>
        </w:tc>
        <w:tc>
          <w:tcPr>
            <w:tcW w:type="dxa" w:w="1728"/>
          </w:tcPr>
          <w:p>
            <w:r>
              <w:t>Vikram Sharma</w:t>
            </w:r>
          </w:p>
        </w:tc>
        <w:tc>
          <w:tcPr>
            <w:tcW w:type="dxa" w:w="1728"/>
          </w:tcPr>
          <w:p>
            <w:r>
              <w:t>Bank of America</w:t>
            </w:r>
          </w:p>
        </w:tc>
        <w:tc>
          <w:tcPr>
            <w:tcW w:type="dxa" w:w="1728"/>
          </w:tcPr>
          <w:p>
            <w:r>
              <w:t>"Property purchase - family contribution"</w:t>
            </w:r>
          </w:p>
        </w:tc>
      </w:tr>
      <w:tr>
        <w:tc>
          <w:tcPr>
            <w:tcW w:type="dxa" w:w="1728"/>
          </w:tcPr>
          <w:p>
            <w:r>
              <w:t>06/11/2026</w:t>
            </w:r>
          </w:p>
        </w:tc>
        <w:tc>
          <w:tcPr>
            <w:tcW w:type="dxa" w:w="1728"/>
          </w:tcPr>
          <w:p>
            <w:r>
              <w:t>$4,000.00</w:t>
            </w:r>
          </w:p>
        </w:tc>
        <w:tc>
          <w:tcPr>
            <w:tcW w:type="dxa" w:w="1728"/>
          </w:tcPr>
          <w:p>
            <w:r>
              <w:t>Deepak Sharma</w:t>
            </w:r>
          </w:p>
        </w:tc>
        <w:tc>
          <w:tcPr>
            <w:tcW w:type="dxa" w:w="1728"/>
          </w:tcPr>
          <w:p>
            <w:r>
              <w:t>PNC Bank</w:t>
            </w:r>
          </w:p>
        </w:tc>
        <w:tc>
          <w:tcPr>
            <w:tcW w:type="dxa" w:w="1728"/>
          </w:tcPr>
          <w:p>
            <w:r>
              <w:t>"For property purchase"</w:t>
            </w:r>
          </w:p>
        </w:tc>
      </w:tr>
      <w:tr>
        <w:tc>
          <w:tcPr>
            <w:tcW w:type="dxa" w:w="1728"/>
          </w:tcPr>
          <w:p>
            <w:r>
              <w:t>06/15/2026</w:t>
            </w:r>
          </w:p>
        </w:tc>
        <w:tc>
          <w:tcPr>
            <w:tcW w:type="dxa" w:w="1728"/>
          </w:tcPr>
          <w:p>
            <w:r>
              <w:t>$6,000.00</w:t>
            </w:r>
          </w:p>
        </w:tc>
        <w:tc>
          <w:tcPr>
            <w:tcW w:type="dxa" w:w="1728"/>
          </w:tcPr>
          <w:p>
            <w:r>
              <w:t>Kavita Sharma</w:t>
            </w:r>
          </w:p>
        </w:tc>
        <w:tc>
          <w:tcPr>
            <w:tcW w:type="dxa" w:w="1728"/>
          </w:tcPr>
          <w:p>
            <w:r>
              <w:t>Citibank</w:t>
            </w:r>
          </w:p>
        </w:tc>
        <w:tc>
          <w:tcPr>
            <w:tcW w:type="dxa" w:w="1728"/>
          </w:tcPr>
          <w:p>
            <w:r>
              <w:t>"Property purchase contribution"</w:t>
            </w:r>
          </w:p>
        </w:tc>
      </w:tr>
      <w:tr>
        <w:tc>
          <w:tcPr>
            <w:tcW w:type="dxa" w:w="1728"/>
          </w:tcPr>
          <w:p>
            <w:r>
              <w:t>06/18/2026</w:t>
            </w:r>
          </w:p>
        </w:tc>
        <w:tc>
          <w:tcPr>
            <w:tcW w:type="dxa" w:w="1728"/>
          </w:tcPr>
          <w:p>
            <w:r>
              <w:t>$5,500.00</w:t>
            </w:r>
          </w:p>
        </w:tc>
        <w:tc>
          <w:tcPr>
            <w:tcW w:type="dxa" w:w="1728"/>
          </w:tcPr>
          <w:p>
            <w:r>
              <w:t>Anil Sharma</w:t>
            </w:r>
          </w:p>
        </w:tc>
        <w:tc>
          <w:tcPr>
            <w:tcW w:type="dxa" w:w="1728"/>
          </w:tcPr>
          <w:p>
            <w:r>
              <w:t>TD Bank N.A.</w:t>
            </w:r>
          </w:p>
        </w:tc>
        <w:tc>
          <w:tcPr>
            <w:tcW w:type="dxa" w:w="1728"/>
          </w:tcPr>
          <w:p>
            <w:r>
              <w:t>"Towards property purchase"</w:t>
            </w:r>
          </w:p>
        </w:tc>
      </w:tr>
      <w:tr>
        <w:tc>
          <w:tcPr>
            <w:tcW w:type="dxa" w:w="1728"/>
          </w:tcPr>
          <w:p>
            <w:r>
              <w:t>06/22/2026</w:t>
            </w:r>
          </w:p>
        </w:tc>
        <w:tc>
          <w:tcPr>
            <w:tcW w:type="dxa" w:w="1728"/>
          </w:tcPr>
          <w:p>
            <w:r>
              <w:t>$3,500.00</w:t>
            </w:r>
          </w:p>
        </w:tc>
        <w:tc>
          <w:tcPr>
            <w:tcW w:type="dxa" w:w="1728"/>
          </w:tcPr>
          <w:p>
            <w:r>
              <w:t>Meena Sharma</w:t>
            </w:r>
          </w:p>
        </w:tc>
        <w:tc>
          <w:tcPr>
            <w:tcW w:type="dxa" w:w="1728"/>
          </w:tcPr>
          <w:p>
            <w:r>
              <w:t>Truist Bank</w:t>
            </w:r>
          </w:p>
        </w:tc>
        <w:tc>
          <w:tcPr>
            <w:tcW w:type="dxa" w:w="1728"/>
          </w:tcPr>
          <w:p>
            <w:r>
              <w:t>"Property purchase support"</w:t>
            </w:r>
          </w:p>
        </w:tc>
      </w:tr>
      <w:tr>
        <w:tc>
          <w:tcPr>
            <w:tcW w:type="dxa" w:w="1728"/>
          </w:tcPr>
          <w:p>
            <w:r>
              <w:rPr>
                <w:b/>
              </w:rPr>
              <w:t>Total</w:t>
            </w:r>
          </w:p>
        </w:tc>
        <w:tc>
          <w:tcPr>
            <w:tcW w:type="dxa" w:w="1728"/>
          </w:tcPr>
          <w:p>
            <w:r>
              <w:rPr>
                <w:b/>
              </w:rPr>
              <w:t>$38,000.00</w:t>
            </w:r>
          </w:p>
        </w:tc>
        <w:tc>
          <w:tcPr>
            <w:tcW w:type="dxa" w:w="1728"/>
          </w:tcPr>
          <w:p>
            <w:r>
              <w:rPr>
                <w:b/>
              </w:rPr>
              <w:t>7 remitters, all surnamed Sharma</w:t>
            </w:r>
          </w:p>
        </w:tc>
        <w:tc>
          <w:tcPr>
            <w:tcW w:type="dxa" w:w="1728"/>
          </w:tcPr>
          <w:p>
            <w:r>
              <w:rPr>
                <w:b/>
              </w:rPr>
              <w:t>7 US banks</w:t>
            </w:r>
          </w:p>
        </w:tc>
        <w:tc>
          <w:tcPr>
            <w:tcW w:type="dxa" w:w="1728"/>
          </w:tcPr>
          <w:p>
            <w:r>
              <w:rPr>
                <w:b/>
              </w:rPr>
              <w:t>All state a property purchase</w:t>
            </w:r>
          </w:p>
        </w:tc>
      </w:tr>
    </w:tbl>
    <w:p>
      <w:r>
        <w:t>Note the amounts: $3,500.00 to $7,500.00, every one a different value, and not one of them sitting just under $10,000.00. Contrast that with the structuring cases, where the deposits cluster tightly under the threshold.</w:t>
      </w:r>
    </w:p>
    <w:p>
      <w:pPr>
        <w:pStyle w:val="Heading4"/>
      </w:pPr>
      <w:r>
        <w:t>The Outflow: One Payment, to a Counterparty That Checks Out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Date and amount</w:t>
            </w:r>
          </w:p>
        </w:tc>
        <w:tc>
          <w:tcPr>
            <w:tcW w:type="dxa" w:w="4320"/>
          </w:tcPr>
          <w:p>
            <w:r>
              <w:t>06/26/2026 - $40,000.00, outgoing wire</w:t>
            </w:r>
          </w:p>
        </w:tc>
      </w:tr>
      <w:tr>
        <w:tc>
          <w:tcPr>
            <w:tcW w:type="dxa" w:w="4320"/>
          </w:tcPr>
          <w:p>
            <w:r>
              <w:t>Beneficiary</w:t>
            </w:r>
          </w:p>
        </w:tc>
        <w:tc>
          <w:tcPr>
            <w:tcW w:type="dxa" w:w="4320"/>
          </w:tcPr>
          <w:p>
            <w:r>
              <w:t>Oakbridge Realty Group LLC - Escrow Account</w:t>
            </w:r>
          </w:p>
        </w:tc>
      </w:tr>
      <w:tr>
        <w:tc>
          <w:tcPr>
            <w:tcW w:type="dxa" w:w="4320"/>
          </w:tcPr>
          <w:p>
            <w:r>
              <w:t>Address</w:t>
            </w:r>
          </w:p>
        </w:tc>
        <w:tc>
          <w:tcPr>
            <w:tcW w:type="dxa" w:w="4320"/>
          </w:tcPr>
          <w:p>
            <w:r>
              <w:t>1465 Oak Tree Rd, Iselin, NJ 08830</w:t>
            </w:r>
          </w:p>
        </w:tc>
      </w:tr>
      <w:tr>
        <w:tc>
          <w:tcPr>
            <w:tcW w:type="dxa" w:w="4320"/>
          </w:tcPr>
          <w:p>
            <w:r>
              <w:t>Bank / account</w:t>
            </w:r>
          </w:p>
        </w:tc>
        <w:tc>
          <w:tcPr>
            <w:tcW w:type="dxa" w:w="4320"/>
          </w:tcPr>
          <w:p>
            <w:r>
              <w:t>TD Bank N.A. / 4412008876</w:t>
            </w:r>
          </w:p>
        </w:tc>
      </w:tr>
      <w:tr>
        <w:tc>
          <w:tcPr>
            <w:tcW w:type="dxa" w:w="4320"/>
          </w:tcPr>
          <w:p>
            <w:r>
              <w:t>Stated purpose</w:t>
            </w:r>
          </w:p>
        </w:tc>
        <w:tc>
          <w:tcPr>
            <w:tcW w:type="dxa" w:w="4320"/>
          </w:tcPr>
          <w:p>
            <w:r>
              <w:t>"Deposit - Property Purchase, 42 Linwood Pl, Edison, NJ 08817, Contract 2026-0614"</w:t>
            </w:r>
          </w:p>
        </w:tc>
      </w:tr>
      <w:tr>
        <w:tc>
          <w:tcPr>
            <w:tcW w:type="dxa" w:w="4320"/>
          </w:tcPr>
          <w:p>
            <w:r>
              <w:rPr>
                <w:b/>
              </w:rPr>
              <w:t>Support on file</w:t>
            </w:r>
          </w:p>
        </w:tc>
        <w:tc>
          <w:tcPr>
            <w:tcW w:type="dxa" w:w="4320"/>
          </w:tcPr>
          <w:p>
            <w:r>
              <w:rPr>
                <w:b/>
              </w:rPr>
              <w:t>Purchase contract dated 06/24/2026 ($310,000.00 price, $40,000.00 deposit) and escrow receipt dated 06/26/2026</w:t>
            </w:r>
          </w:p>
        </w:tc>
      </w:tr>
    </w:tbl>
    <w:p>
      <w:r>
        <w:t>The $40,000.00 paid out is $2,000.00 more than the $38,000.00 received. That difference comes from the balance already in the account - $11,052.35 had accumulated from the household transfers before the first family credit arrived. Walk the class through that reconciliation; it is the kind of arithmetic that turns an assumption into a fact.</w:t>
      </w:r>
    </w:p>
    <w:p>
      <w:pPr>
        <w:pStyle w:val="Heading4"/>
      </w:pPr>
      <w:r>
        <w:t>The Research: What Verification Actually Looks Like</w:t>
      </w:r>
    </w:p>
    <w:tbl>
      <w:tblPr>
        <w:tblStyle w:val="TableGrid"/>
        <w:tblW w:type="auto" w:w="0"/>
        <w:tblLook w:firstColumn="1" w:firstRow="1" w:lastColumn="0" w:lastRow="0" w:noHBand="0" w:noVBand="1" w:val="04A0"/>
      </w:tblPr>
      <w:tblGrid>
        <w:gridCol w:w="4320"/>
        <w:gridCol w:w="4320"/>
      </w:tblGrid>
      <w:tr>
        <w:tc>
          <w:tcPr>
            <w:tcW w:type="dxa" w:w="4320"/>
          </w:tcPr>
          <w:p>
            <w:r>
              <w:rPr>
                <w:b/>
              </w:rPr>
              <w:t>Source searched</w:t>
            </w:r>
          </w:p>
        </w:tc>
        <w:tc>
          <w:tcPr>
            <w:tcW w:type="dxa" w:w="4320"/>
          </w:tcPr>
          <w:p>
            <w:r>
              <w:rPr>
                <w:b/>
              </w:rPr>
              <w:t>Result</w:t>
            </w:r>
          </w:p>
        </w:tc>
      </w:tr>
      <w:tr>
        <w:tc>
          <w:tcPr>
            <w:tcW w:type="dxa" w:w="4320"/>
          </w:tcPr>
          <w:p>
            <w:r>
              <w:t>NJ Division of Revenue and Enterprise Services</w:t>
            </w:r>
          </w:p>
        </w:tc>
        <w:tc>
          <w:tcPr>
            <w:tcW w:type="dxa" w:w="4320"/>
          </w:tcPr>
          <w:p>
            <w:r>
              <w:t>Active domestic LLC, registered 2009, principal office 1465 Oak Tree Rd, Iselin, NJ</w:t>
            </w:r>
          </w:p>
        </w:tc>
      </w:tr>
      <w:tr>
        <w:tc>
          <w:tcPr>
            <w:tcW w:type="dxa" w:w="4320"/>
          </w:tcPr>
          <w:p>
            <w:r>
              <w:t>NJ Real Estate Commission licensee search</w:t>
            </w:r>
          </w:p>
        </w:tc>
        <w:tc>
          <w:tcPr>
            <w:tcW w:type="dxa" w:w="4320"/>
          </w:tcPr>
          <w:p>
            <w:r>
              <w:t>Licensed brokerage, licence in good standing, no disciplinary record</w:t>
            </w:r>
          </w:p>
        </w:tc>
      </w:tr>
      <w:tr>
        <w:tc>
          <w:tcPr>
            <w:tcW w:type="dxa" w:w="4320"/>
          </w:tcPr>
          <w:p>
            <w:r>
              <w:t>Company website and registered domain</w:t>
            </w:r>
          </w:p>
        </w:tc>
        <w:tc>
          <w:tcPr>
            <w:tcW w:type="dxa" w:w="4320"/>
          </w:tcPr>
          <w:p>
            <w:r>
              <w:t>Active site: same office address, current listings, named licensed agents</w:t>
            </w:r>
          </w:p>
        </w:tc>
      </w:tr>
      <w:tr>
        <w:tc>
          <w:tcPr>
            <w:tcW w:type="dxa" w:w="4320"/>
          </w:tcPr>
          <w:p>
            <w:r>
              <w:t>Local press, directory and review listings</w:t>
            </w:r>
          </w:p>
        </w:tc>
        <w:tc>
          <w:tcPr>
            <w:tcW w:type="dxa" w:w="4320"/>
          </w:tcPr>
          <w:p>
            <w:r>
              <w:t>Established local brokerage, multiple independent entries</w:t>
            </w:r>
          </w:p>
        </w:tc>
      </w:tr>
      <w:tr>
        <w:tc>
          <w:tcPr>
            <w:tcW w:type="dxa" w:w="4320"/>
          </w:tcPr>
          <w:p>
            <w:r>
              <w:t>Middlesex County property records and listing sites</w:t>
            </w:r>
          </w:p>
        </w:tc>
        <w:tc>
          <w:tcPr>
            <w:tcW w:type="dxa" w:w="4320"/>
          </w:tcPr>
          <w:p>
            <w:r>
              <w:t>Property record at 42 Linwood Pl, Edison NJ; listing consistent with the $310,000.00 contract price</w:t>
            </w:r>
          </w:p>
        </w:tc>
      </w:tr>
      <w:tr>
        <w:tc>
          <w:tcPr>
            <w:tcW w:type="dxa" w:w="4320"/>
          </w:tcPr>
          <w:p>
            <w:r>
              <w:rPr>
                <w:b/>
              </w:rPr>
              <w:t>Sanctions and adverse media</w:t>
            </w:r>
          </w:p>
        </w:tc>
        <w:tc>
          <w:tcPr>
            <w:tcW w:type="dxa" w:w="4320"/>
          </w:tcPr>
          <w:p>
            <w:r>
              <w:rPr>
                <w:b/>
              </w:rPr>
              <w:t>No match for the company, the customer, or any of the seven remitters</w:t>
            </w:r>
          </w:p>
        </w:tc>
      </w:tr>
    </w:tbl>
    <w:p>
      <w:r>
        <w:t>This is the hinge of the case. In the SAR cases the same searches returned nothing at all, and that nil result was itself the finding. Here the searches return a registered, licensed, publicly visible business - and that positive result is equally a finding, recorded with the same rigour.</w:t>
      </w:r>
    </w:p>
    <w:p>
      <w:r>
        <w:t>Why There Are No Red Flags:</w:t>
      </w:r>
    </w:p>
    <w:p>
      <w:pPr>
        <w:pStyle w:val="ListBullet"/>
      </w:pPr>
      <w:r>
        <w:t>No currency: not a single cash transaction on the account in six months, so structuring cannot arise.</w:t>
      </w:r>
    </w:p>
    <w:p>
      <w:pPr>
        <w:pStyle w:val="ListBullet"/>
      </w:pPr>
      <w:r>
        <w:t>No anonymity: every remitter is named, from a personal account in their own name at a US bank.</w:t>
      </w:r>
    </w:p>
    <w:p>
      <w:pPr>
        <w:pStyle w:val="ListBullet"/>
      </w:pPr>
      <w:r>
        <w:t>Amounts that do not hug a threshold: $3,500.00 to $7,500.00, all different, none near $10,000.00.</w:t>
      </w:r>
    </w:p>
    <w:p>
      <w:pPr>
        <w:pStyle w:val="ListBullet"/>
      </w:pPr>
      <w:r>
        <w:t>One destination, not many: the funds go to a single identified beneficiary, not dispersed across unrelated parties.</w:t>
      </w:r>
    </w:p>
    <w:p>
      <w:pPr>
        <w:pStyle w:val="ListBullet"/>
      </w:pPr>
      <w:r>
        <w:t>Purpose stated consistently on both sides: the same purpose appears on all seven credits, on the debit, on the contract and on the escrow receipt.</w:t>
      </w:r>
    </w:p>
    <w:p>
      <w:pPr>
        <w:pStyle w:val="ListBullet"/>
      </w:pPr>
      <w:r>
        <w:t>Counterparty verified: registered, licensed and publicly visible - the opposite of an entity that cannot be found.</w:t>
      </w:r>
    </w:p>
    <w:p>
      <w:pPr>
        <w:pStyle w:val="ListBullet"/>
      </w:pPr>
      <w:r>
        <w:t>No high-risk jurisdiction: all activity is domestic.</w:t>
      </w:r>
    </w:p>
    <w:p>
      <w:pPr>
        <w:pStyle w:val="ListBullet"/>
      </w:pPr>
      <w:r>
        <w:t>The account returns to baseline: after 06/26/2026 the activity goes straight back to the household transfer and grocery pattern.</w:t>
      </w:r>
    </w:p>
    <w:p>
      <w:pPr>
        <w:pStyle w:val="Heading3"/>
      </w:pPr>
      <w:r>
        <w:t>4. Conclusion for the Case Study</w:t>
      </w:r>
    </w:p>
    <w:p>
      <w:pPr>
        <w:pStyle w:val="ListBullet"/>
      </w:pPr>
      <w:r>
        <w:t>The Verdict: Close the alert with no SAR filed. The activity is explained by documentation on file and by verifiable open-source research.</w:t>
      </w:r>
    </w:p>
    <w:p>
      <w:pPr>
        <w:pStyle w:val="ListBullet"/>
      </w:pPr>
      <w:r>
        <w:t>The SAR Structured Form is deliberately left blank, with the Events field recording that no SAR is recommended. A form is completed only when the disposition supports it.</w:t>
      </w:r>
    </w:p>
    <w:p>
      <w:pPr>
        <w:pStyle w:val="ListBullet"/>
      </w:pPr>
      <w:r>
        <w:t>What still gets documented: the source of every credit, the verified identity of the beneficiary, the supporting documents reviewed, the research performed and its results, and the reasoning. A decision to close must be evidenced as thoroughly as a decision to file.</w:t>
      </w:r>
    </w:p>
    <w:p>
      <w:pPr>
        <w:pStyle w:val="ListBullet"/>
      </w:pPr>
      <w:r>
        <w:t>The Lesson: A monitoring alert describes a shape, not a conclusion. Seven third-party credits consolidated into one large outgoing payment is the same shape as a funnel account - the difference is entirely in what the counterparties turn out to be and what the file can show.</w:t>
      </w:r>
    </w:p>
    <w:p>
      <w:r>
        <w:t>Key takeaways are:</w:t>
      </w:r>
    </w:p>
    <w:p>
      <w:pPr>
        <w:pStyle w:val="ListBullet"/>
      </w:pPr>
      <w:r>
        <w:t>Closing an alert is an analytical outcome, not an absence of work. The narrative for a close is as long and as evidenced as the narrative for a filing.</w:t>
      </w:r>
    </w:p>
    <w:p>
      <w:pPr>
        <w:pStyle w:val="ListBullet"/>
      </w:pPr>
      <w:r>
        <w:t>A verified counterparty is a finding. Record the registry, the licence, the domain and the date searched, exactly as you would record a nil result.</w:t>
      </w:r>
    </w:p>
    <w:p>
      <w:pPr>
        <w:pStyle w:val="ListBullet"/>
      </w:pPr>
      <w:r>
        <w:t>Look at how the money arrived, not just how much. Named electronic transfers from identified senders sit at the opposite end of the risk scale from currency deposited across multiple branches.</w:t>
      </w:r>
    </w:p>
    <w:p>
      <w:pPr>
        <w:pStyle w:val="ListBullet"/>
      </w:pPr>
      <w:r>
        <w:t>Consistency across independent sources - narration, contract, escrow receipt, public record - is what converts a plausible explanation into an evidenced one.</w:t>
      </w:r>
    </w:p>
    <w:p>
      <w:pPr>
        <w:pStyle w:val="ListBullet"/>
      </w:pPr>
      <w:r>
        <w:t>Discussion Question: "If the same $38,000.00 had arrived as seven cash deposits instead of seven named bank transfers, and everything else in the file stayed identical, would the disposition change?" (Answer: yes. The purchase would still be documented, but the source of the currency would not be, and the deposits would need to be tested for structuring. The destination being verified does not explain where the funds came from.)</w:t>
      </w:r>
    </w:p>
    <w:sectPr w:rsidR="009F5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40686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744173"/>
    <w:multiLevelType w:val="hybridMultilevel"/>
    <w:tmpl w:val="74FA2652"/>
    <w:lvl w:ilvl="0" w:tplc="7A9402CC">
      <w:start w:val="1"/>
      <w:numFmt w:val="bullet"/>
      <w:lvlText w:val="·"/>
      <w:lvlJc w:val="left"/>
      <w:pPr>
        <w:ind w:left="720" w:hanging="360"/>
      </w:pPr>
      <w:rPr>
        <w:rFonts w:ascii="Symbol" w:hAnsi="Symbol" w:hint="default"/>
      </w:rPr>
    </w:lvl>
    <w:lvl w:ilvl="1" w:tplc="87203CC8">
      <w:start w:val="1"/>
      <w:numFmt w:val="bullet"/>
      <w:lvlText w:val="o"/>
      <w:lvlJc w:val="left"/>
      <w:pPr>
        <w:ind w:left="1440" w:hanging="360"/>
      </w:pPr>
      <w:rPr>
        <w:rFonts w:ascii="Courier New" w:hAnsi="Courier New" w:hint="default"/>
      </w:rPr>
    </w:lvl>
    <w:lvl w:ilvl="2" w:tplc="218EC29E">
      <w:start w:val="1"/>
      <w:numFmt w:val="bullet"/>
      <w:lvlText w:val=""/>
      <w:lvlJc w:val="left"/>
      <w:pPr>
        <w:ind w:left="2160" w:hanging="360"/>
      </w:pPr>
      <w:rPr>
        <w:rFonts w:ascii="Wingdings" w:hAnsi="Wingdings" w:hint="default"/>
      </w:rPr>
    </w:lvl>
    <w:lvl w:ilvl="3" w:tplc="A6861400">
      <w:start w:val="1"/>
      <w:numFmt w:val="bullet"/>
      <w:lvlText w:val=""/>
      <w:lvlJc w:val="left"/>
      <w:pPr>
        <w:ind w:left="2880" w:hanging="360"/>
      </w:pPr>
      <w:rPr>
        <w:rFonts w:ascii="Symbol" w:hAnsi="Symbol" w:hint="default"/>
      </w:rPr>
    </w:lvl>
    <w:lvl w:ilvl="4" w:tplc="C3F4F822">
      <w:start w:val="1"/>
      <w:numFmt w:val="bullet"/>
      <w:lvlText w:val="o"/>
      <w:lvlJc w:val="left"/>
      <w:pPr>
        <w:ind w:left="3600" w:hanging="360"/>
      </w:pPr>
      <w:rPr>
        <w:rFonts w:ascii="Courier New" w:hAnsi="Courier New" w:hint="default"/>
      </w:rPr>
    </w:lvl>
    <w:lvl w:ilvl="5" w:tplc="D930BA6C">
      <w:start w:val="1"/>
      <w:numFmt w:val="bullet"/>
      <w:lvlText w:val=""/>
      <w:lvlJc w:val="left"/>
      <w:pPr>
        <w:ind w:left="4320" w:hanging="360"/>
      </w:pPr>
      <w:rPr>
        <w:rFonts w:ascii="Wingdings" w:hAnsi="Wingdings" w:hint="default"/>
      </w:rPr>
    </w:lvl>
    <w:lvl w:ilvl="6" w:tplc="5C267144">
      <w:start w:val="1"/>
      <w:numFmt w:val="bullet"/>
      <w:lvlText w:val=""/>
      <w:lvlJc w:val="left"/>
      <w:pPr>
        <w:ind w:left="5040" w:hanging="360"/>
      </w:pPr>
      <w:rPr>
        <w:rFonts w:ascii="Symbol" w:hAnsi="Symbol" w:hint="default"/>
      </w:rPr>
    </w:lvl>
    <w:lvl w:ilvl="7" w:tplc="D0888FF4">
      <w:start w:val="1"/>
      <w:numFmt w:val="bullet"/>
      <w:lvlText w:val="o"/>
      <w:lvlJc w:val="left"/>
      <w:pPr>
        <w:ind w:left="5760" w:hanging="360"/>
      </w:pPr>
      <w:rPr>
        <w:rFonts w:ascii="Courier New" w:hAnsi="Courier New" w:hint="default"/>
      </w:rPr>
    </w:lvl>
    <w:lvl w:ilvl="8" w:tplc="ED823CC8">
      <w:start w:val="1"/>
      <w:numFmt w:val="bullet"/>
      <w:lvlText w:val=""/>
      <w:lvlJc w:val="left"/>
      <w:pPr>
        <w:ind w:left="6480" w:hanging="360"/>
      </w:pPr>
      <w:rPr>
        <w:rFonts w:ascii="Wingdings" w:hAnsi="Wingdings" w:hint="default"/>
      </w:rPr>
    </w:lvl>
  </w:abstractNum>
  <w:abstractNum w:abstractNumId="10" w15:restartNumberingAfterBreak="0">
    <w:nsid w:val="5491B516"/>
    <w:multiLevelType w:val="hybridMultilevel"/>
    <w:tmpl w:val="E43A0296"/>
    <w:lvl w:ilvl="0" w:tplc="75BE9304">
      <w:start w:val="1"/>
      <w:numFmt w:val="bullet"/>
      <w:lvlText w:val="·"/>
      <w:lvlJc w:val="left"/>
      <w:pPr>
        <w:ind w:left="720" w:hanging="360"/>
      </w:pPr>
      <w:rPr>
        <w:rFonts w:ascii="Symbol" w:hAnsi="Symbol" w:hint="default"/>
      </w:rPr>
    </w:lvl>
    <w:lvl w:ilvl="1" w:tplc="8E3AE976">
      <w:start w:val="1"/>
      <w:numFmt w:val="bullet"/>
      <w:lvlText w:val="o"/>
      <w:lvlJc w:val="left"/>
      <w:pPr>
        <w:ind w:left="1440" w:hanging="360"/>
      </w:pPr>
      <w:rPr>
        <w:rFonts w:ascii="Courier New" w:hAnsi="Courier New" w:hint="default"/>
      </w:rPr>
    </w:lvl>
    <w:lvl w:ilvl="2" w:tplc="F7D8CBD8">
      <w:start w:val="1"/>
      <w:numFmt w:val="bullet"/>
      <w:lvlText w:val=""/>
      <w:lvlJc w:val="left"/>
      <w:pPr>
        <w:ind w:left="2160" w:hanging="360"/>
      </w:pPr>
      <w:rPr>
        <w:rFonts w:ascii="Wingdings" w:hAnsi="Wingdings" w:hint="default"/>
      </w:rPr>
    </w:lvl>
    <w:lvl w:ilvl="3" w:tplc="CA10740E">
      <w:start w:val="1"/>
      <w:numFmt w:val="bullet"/>
      <w:lvlText w:val=""/>
      <w:lvlJc w:val="left"/>
      <w:pPr>
        <w:ind w:left="2880" w:hanging="360"/>
      </w:pPr>
      <w:rPr>
        <w:rFonts w:ascii="Symbol" w:hAnsi="Symbol" w:hint="default"/>
      </w:rPr>
    </w:lvl>
    <w:lvl w:ilvl="4" w:tplc="D5B4DEC6">
      <w:start w:val="1"/>
      <w:numFmt w:val="bullet"/>
      <w:lvlText w:val="o"/>
      <w:lvlJc w:val="left"/>
      <w:pPr>
        <w:ind w:left="3600" w:hanging="360"/>
      </w:pPr>
      <w:rPr>
        <w:rFonts w:ascii="Courier New" w:hAnsi="Courier New" w:hint="default"/>
      </w:rPr>
    </w:lvl>
    <w:lvl w:ilvl="5" w:tplc="EBD2952A">
      <w:start w:val="1"/>
      <w:numFmt w:val="bullet"/>
      <w:lvlText w:val=""/>
      <w:lvlJc w:val="left"/>
      <w:pPr>
        <w:ind w:left="4320" w:hanging="360"/>
      </w:pPr>
      <w:rPr>
        <w:rFonts w:ascii="Wingdings" w:hAnsi="Wingdings" w:hint="default"/>
      </w:rPr>
    </w:lvl>
    <w:lvl w:ilvl="6" w:tplc="0F58063E">
      <w:start w:val="1"/>
      <w:numFmt w:val="bullet"/>
      <w:lvlText w:val=""/>
      <w:lvlJc w:val="left"/>
      <w:pPr>
        <w:ind w:left="5040" w:hanging="360"/>
      </w:pPr>
      <w:rPr>
        <w:rFonts w:ascii="Symbol" w:hAnsi="Symbol" w:hint="default"/>
      </w:rPr>
    </w:lvl>
    <w:lvl w:ilvl="7" w:tplc="F86AC04A">
      <w:start w:val="1"/>
      <w:numFmt w:val="bullet"/>
      <w:lvlText w:val="o"/>
      <w:lvlJc w:val="left"/>
      <w:pPr>
        <w:ind w:left="5760" w:hanging="360"/>
      </w:pPr>
      <w:rPr>
        <w:rFonts w:ascii="Courier New" w:hAnsi="Courier New" w:hint="default"/>
      </w:rPr>
    </w:lvl>
    <w:lvl w:ilvl="8" w:tplc="61C056DE">
      <w:start w:val="1"/>
      <w:numFmt w:val="bullet"/>
      <w:lvlText w:val=""/>
      <w:lvlJc w:val="left"/>
      <w:pPr>
        <w:ind w:left="6480" w:hanging="360"/>
      </w:pPr>
      <w:rPr>
        <w:rFonts w:ascii="Wingdings" w:hAnsi="Wingdings" w:hint="default"/>
      </w:rPr>
    </w:lvl>
  </w:abstractNum>
  <w:abstractNum w:abstractNumId="11" w15:restartNumberingAfterBreak="0">
    <w:nsid w:val="569E0E7C"/>
    <w:multiLevelType w:val="hybridMultilevel"/>
    <w:tmpl w:val="13226A70"/>
    <w:lvl w:ilvl="0" w:tplc="CE9E1C38">
      <w:start w:val="1"/>
      <w:numFmt w:val="decimal"/>
      <w:lvlText w:val="%1."/>
      <w:lvlJc w:val="left"/>
      <w:pPr>
        <w:ind w:left="720" w:hanging="360"/>
      </w:pPr>
    </w:lvl>
    <w:lvl w:ilvl="1" w:tplc="DBACF1E0">
      <w:start w:val="1"/>
      <w:numFmt w:val="lowerLetter"/>
      <w:lvlText w:val="%2."/>
      <w:lvlJc w:val="left"/>
      <w:pPr>
        <w:ind w:left="1440" w:hanging="360"/>
      </w:pPr>
    </w:lvl>
    <w:lvl w:ilvl="2" w:tplc="DD361994">
      <w:start w:val="1"/>
      <w:numFmt w:val="lowerRoman"/>
      <w:lvlText w:val="%3."/>
      <w:lvlJc w:val="right"/>
      <w:pPr>
        <w:ind w:left="2160" w:hanging="180"/>
      </w:pPr>
    </w:lvl>
    <w:lvl w:ilvl="3" w:tplc="B630C3D6">
      <w:start w:val="1"/>
      <w:numFmt w:val="decimal"/>
      <w:lvlText w:val="%4."/>
      <w:lvlJc w:val="left"/>
      <w:pPr>
        <w:ind w:left="2880" w:hanging="360"/>
      </w:pPr>
    </w:lvl>
    <w:lvl w:ilvl="4" w:tplc="8842E440">
      <w:start w:val="1"/>
      <w:numFmt w:val="lowerLetter"/>
      <w:lvlText w:val="%5."/>
      <w:lvlJc w:val="left"/>
      <w:pPr>
        <w:ind w:left="3600" w:hanging="360"/>
      </w:pPr>
    </w:lvl>
    <w:lvl w:ilvl="5" w:tplc="2B68932A">
      <w:start w:val="1"/>
      <w:numFmt w:val="lowerRoman"/>
      <w:lvlText w:val="%6."/>
      <w:lvlJc w:val="right"/>
      <w:pPr>
        <w:ind w:left="4320" w:hanging="180"/>
      </w:pPr>
    </w:lvl>
    <w:lvl w:ilvl="6" w:tplc="19BEFF32">
      <w:start w:val="1"/>
      <w:numFmt w:val="decimal"/>
      <w:lvlText w:val="%7."/>
      <w:lvlJc w:val="left"/>
      <w:pPr>
        <w:ind w:left="5040" w:hanging="360"/>
      </w:pPr>
    </w:lvl>
    <w:lvl w:ilvl="7" w:tplc="C218A592">
      <w:start w:val="1"/>
      <w:numFmt w:val="lowerLetter"/>
      <w:lvlText w:val="%8."/>
      <w:lvlJc w:val="left"/>
      <w:pPr>
        <w:ind w:left="5760" w:hanging="360"/>
      </w:pPr>
    </w:lvl>
    <w:lvl w:ilvl="8" w:tplc="5FB4E290">
      <w:start w:val="1"/>
      <w:numFmt w:val="lowerRoman"/>
      <w:lvlText w:val="%9."/>
      <w:lvlJc w:val="right"/>
      <w:pPr>
        <w:ind w:left="6480" w:hanging="180"/>
      </w:pPr>
    </w:lvl>
  </w:abstractNum>
  <w:num w:numId="1" w16cid:durableId="1376663660">
    <w:abstractNumId w:val="10"/>
  </w:num>
  <w:num w:numId="2" w16cid:durableId="533005916">
    <w:abstractNumId w:val="11"/>
  </w:num>
  <w:num w:numId="3" w16cid:durableId="850068737">
    <w:abstractNumId w:val="9"/>
  </w:num>
  <w:num w:numId="4" w16cid:durableId="1235506466">
    <w:abstractNumId w:val="8"/>
  </w:num>
  <w:num w:numId="5" w16cid:durableId="1076635934">
    <w:abstractNumId w:val="6"/>
  </w:num>
  <w:num w:numId="6" w16cid:durableId="389228269">
    <w:abstractNumId w:val="5"/>
  </w:num>
  <w:num w:numId="7" w16cid:durableId="432676883">
    <w:abstractNumId w:val="4"/>
  </w:num>
  <w:num w:numId="8" w16cid:durableId="1251894360">
    <w:abstractNumId w:val="7"/>
  </w:num>
  <w:num w:numId="9" w16cid:durableId="597099885">
    <w:abstractNumId w:val="3"/>
  </w:num>
  <w:num w:numId="10" w16cid:durableId="388696323">
    <w:abstractNumId w:val="2"/>
  </w:num>
  <w:num w:numId="11" w16cid:durableId="1534927903">
    <w:abstractNumId w:val="1"/>
  </w:num>
  <w:num w:numId="12" w16cid:durableId="151869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6A2"/>
    <w:rsid w:val="000F23D3"/>
    <w:rsid w:val="00131C8A"/>
    <w:rsid w:val="0015074B"/>
    <w:rsid w:val="00185A01"/>
    <w:rsid w:val="0029639D"/>
    <w:rsid w:val="00326F90"/>
    <w:rsid w:val="00473506"/>
    <w:rsid w:val="006410C9"/>
    <w:rsid w:val="00680F42"/>
    <w:rsid w:val="006A1C6B"/>
    <w:rsid w:val="007759E4"/>
    <w:rsid w:val="007E16DF"/>
    <w:rsid w:val="009F580A"/>
    <w:rsid w:val="00A202D2"/>
    <w:rsid w:val="00A46BC8"/>
    <w:rsid w:val="00AA1D8D"/>
    <w:rsid w:val="00B47730"/>
    <w:rsid w:val="00B553F3"/>
    <w:rsid w:val="00BE2060"/>
    <w:rsid w:val="00BE77A0"/>
    <w:rsid w:val="00CB0664"/>
    <w:rsid w:val="00CB6A3D"/>
    <w:rsid w:val="00CD7EB6"/>
    <w:rsid w:val="00EB67A6"/>
    <w:rsid w:val="00FC693F"/>
    <w:rsid w:val="240FF933"/>
    <w:rsid w:val="3909DCC2"/>
    <w:rsid w:val="411C8752"/>
    <w:rsid w:val="45199465"/>
    <w:rsid w:val="4C7D95B6"/>
    <w:rsid w:val="51F5B165"/>
    <w:rsid w:val="6252B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63A13"/>
  <w14:defaultImageDpi w14:val="300"/>
  <w15:docId w15:val="{ECD8E33D-49C4-4FDB-A254-93C8ECF0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8B24D870E2CF4480FB58B8A4C8E582" ma:contentTypeVersion="3" ma:contentTypeDescription="Create a new document." ma:contentTypeScope="" ma:versionID="22d3030a0d7f1392f4e6226949aaf978">
  <xsd:schema xmlns:xsd="http://www.w3.org/2001/XMLSchema" xmlns:xs="http://www.w3.org/2001/XMLSchema" xmlns:p="http://schemas.microsoft.com/office/2006/metadata/properties" xmlns:ns2="9b7a0682-08ca-4e5a-a35e-d8d8ffefe728" targetNamespace="http://schemas.microsoft.com/office/2006/metadata/properties" ma:root="true" ma:fieldsID="c3d8606d6a6666a08a669719a982e26f" ns2:_="">
    <xsd:import namespace="9b7a0682-08ca-4e5a-a35e-d8d8ffefe7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a0682-08ca-4e5a-a35e-d8d8ffefe7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789A6D-CD40-425B-B15A-4F6BA2942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a0682-08ca-4e5a-a35e-d8d8ffefe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BA4FB-33D0-433A-B572-11809CFC4D67}">
  <ds:schemaRefs>
    <ds:schemaRef ds:uri="http://schemas.microsoft.com/sharepoint/v3/contenttype/forms"/>
  </ds:schemaRefs>
</ds:datastoreItem>
</file>

<file path=customXml/itemProps4.xml><?xml version="1.0" encoding="utf-8"?>
<ds:datastoreItem xmlns:ds="http://schemas.openxmlformats.org/officeDocument/2006/customXml" ds:itemID="{14570BA0-4E80-4301-AA96-D2D095BCED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1035</Words>
  <Characters>5530</Characters>
  <Application>Microsoft Office Word</Application>
  <DocSecurity>0</DocSecurity>
  <Lines>240</Lines>
  <Paragraphs>119</Paragraphs>
  <ScaleCrop>false</ScaleCrop>
  <Manager/>
  <Company/>
  <LinksUpToDate>false</LinksUpToDate>
  <CharactersWithSpaces>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t23977</cp:lastModifiedBy>
  <cp:revision>2</cp:revision>
  <dcterms:created xsi:type="dcterms:W3CDTF">2026-09-21T03:47:00Z</dcterms:created>
  <dcterms:modified xsi:type="dcterms:W3CDTF">2026-09-21T03:47:00Z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0x010100248B24D870E2CF4480FB58B8A4C8E582</vt:lpwstr>
  </property>
</Properties>
</file>