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Presenter Talking Points: Simon Whitaker Case Study</w:t>
      </w:r>
    </w:p>
    <w:p>
      <w:r>
        <w:t>Here are the key points and statistics to cover when presenting the Simon Whitaker small case study.</w:t>
      </w:r>
    </w:p>
    <w:p>
      <w:r>
        <w:t>____________________</w:t>
      </w:r>
    </w:p>
    <w:p>
      <w:pPr>
        <w:pStyle w:val="Heading3"/>
      </w:pPr>
      <w:r>
        <w:t>1. The Customer Profile:</w:t>
      </w:r>
    </w:p>
    <w:p>
      <w:pPr>
        <w:pStyle w:val="ListBullet"/>
      </w:pPr>
      <w:r>
        <w:t>Who is Simon Whitaker? An 81-year-old retired customer in Scottsdale, Arizona, who has held the account since 05/04/1998 - a 28-year relationship.</w:t>
      </w:r>
    </w:p>
    <w:p>
      <w:pPr>
        <w:pStyle w:val="ListBullet"/>
      </w:pPr>
      <w:r>
        <w:t>What's his story? Internal records list his occupation as Retired with no employer of record. Six monthly Social Security credits of $2,184.00 are the only income recorded on file, and the only recurring outgoing is a residence fee of $845.20 a month to Desert Ridge Senior Living.</w:t>
      </w:r>
    </w:p>
    <w:p>
      <w:pPr>
        <w:pStyle w:val="ListBullet"/>
      </w:pPr>
      <w:r>
        <w:t>Key Expectation: For a retiree on a fixed benefit we would expect the benefit in, the residence fee and household costs out, and a stable balance. Five-figure currency deposits and wires carrying commercial purposes are immediate red flags.</w:t>
      </w:r>
    </w:p>
    <w:p>
      <w:pPr>
        <w:pStyle w:val="Heading3"/>
      </w:pPr>
      <w:r>
        <w:t>2. The Alert:</w:t>
      </w:r>
    </w:p>
    <w:p>
      <w:pPr>
        <w:pStyle w:val="ListBullet"/>
      </w:pPr>
      <w:r>
        <w:t>The Trigger: The case was flagged for 5 currency deposits totalling $43,750.00, each between $8,000.00 and $9,500.00 and each below the $10,000 currency transaction reporting threshold.</w:t>
      </w:r>
    </w:p>
    <w:p>
      <w:pPr>
        <w:pStyle w:val="ListBullet"/>
      </w:pPr>
      <w:r>
        <w:t>The Core Conflict: A retiree whose recorded income for six months is $13,104.00 deposited $43,750.00 in currency at five different branches, and wired $43,200.00 of it to the same unrelated individual in Texas three days after each deposit, under purposes such as "Equipment Purchase" and "Inventory Purchase" on an account with no business of any kind on file.</w:t>
      </w:r>
    </w:p>
    <w:p>
      <w:pPr>
        <w:pStyle w:val="Heading3"/>
      </w:pPr>
      <w:r>
        <w:t>3. The Investigation:</w:t>
      </w:r>
    </w:p>
    <w:p>
      <w:pPr>
        <w:pStyle w:val="Heading4"/>
      </w:pPr>
      <w:r>
        <w:t>The Inflows: A Fixed Benefit, and Five Deposits Under the Threshold</w:t>
      </w:r>
    </w:p>
    <w:p>
      <w:r>
        <w:t>The account has two sources of funds. One is the Social Security benefit. The other has no support anywhere in the customer file.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Inflow Type</w:t>
            </w:r>
          </w:p>
        </w:tc>
        <w:tc>
          <w:tcPr>
            <w:tcW w:type="dxa" w:w="1728"/>
          </w:tcPr>
          <w:p>
            <w:r>
              <w:rPr>
                <w:b/>
              </w:rPr>
              <w:t>Total Amount</w:t>
            </w:r>
          </w:p>
        </w:tc>
        <w:tc>
          <w:tcPr>
            <w:tcW w:type="dxa" w:w="1728"/>
          </w:tcPr>
          <w:p>
            <w:r>
              <w:rPr>
                <w:b/>
              </w:rPr>
              <w:t>Number of Transactions</w:t>
            </w:r>
          </w:p>
        </w:tc>
        <w:tc>
          <w:tcPr>
            <w:tcW w:type="dxa" w:w="1728"/>
          </w:tcPr>
          <w:p>
            <w:r>
              <w:rPr>
                <w:b/>
              </w:rPr>
              <w:t>Sources / Locations</w:t>
            </w:r>
          </w:p>
        </w:tc>
        <w:tc>
          <w:tcPr>
            <w:tcW w:type="dxa" w:w="1728"/>
          </w:tcPr>
          <w:p>
            <w:r>
              <w:rPr>
                <w:b/>
              </w:rPr>
              <w:t>Key Insight</w:t>
            </w:r>
          </w:p>
        </w:tc>
      </w:tr>
      <w:tr>
        <w:tc>
          <w:tcPr>
            <w:tcW w:type="dxa" w:w="1728"/>
          </w:tcPr>
          <w:p>
            <w:r>
              <w:t>Currency deposits</w:t>
            </w:r>
          </w:p>
        </w:tc>
        <w:tc>
          <w:tcPr>
            <w:tcW w:type="dxa" w:w="1728"/>
          </w:tcPr>
          <w:p>
            <w:r>
              <w:t>$43,750.00</w:t>
            </w:r>
          </w:p>
        </w:tc>
        <w:tc>
          <w:tcPr>
            <w:tcW w:type="dxa" w:w="1728"/>
          </w:tcPr>
          <w:p>
            <w:r>
              <w:t>5</w:t>
            </w:r>
          </w:p>
        </w:tc>
        <w:tc>
          <w:tcPr>
            <w:tcW w:type="dxa" w:w="1728"/>
          </w:tcPr>
          <w:p>
            <w:r>
              <w:t>Five branches in Scottsdale, Phoenix, Mesa, Glendale and Tempe, Arizona</w:t>
            </w:r>
          </w:p>
        </w:tc>
        <w:tc>
          <w:tcPr>
            <w:tcW w:type="dxa" w:w="1728"/>
          </w:tcPr>
          <w:p>
            <w:r>
              <w:t>Each deposit $8,000.00 to $9,500.00 - all below the $10,000 CTR threshold, and no two made at the same branch.</w:t>
            </w:r>
          </w:p>
        </w:tc>
      </w:tr>
      <w:tr>
        <w:tc>
          <w:tcPr>
            <w:tcW w:type="dxa" w:w="1728"/>
          </w:tcPr>
          <w:p>
            <w:r>
              <w:t>Social Security credits</w:t>
            </w:r>
          </w:p>
        </w:tc>
        <w:tc>
          <w:tcPr>
            <w:tcW w:type="dxa" w:w="1728"/>
          </w:tcPr>
          <w:p>
            <w:r>
              <w:t>$13,104.00</w:t>
            </w:r>
          </w:p>
        </w:tc>
        <w:tc>
          <w:tcPr>
            <w:tcW w:type="dxa" w:w="1728"/>
          </w:tcPr>
          <w:p>
            <w:r>
              <w:t>6</w:t>
            </w:r>
          </w:p>
        </w:tc>
        <w:tc>
          <w:tcPr>
            <w:tcW w:type="dxa" w:w="1728"/>
          </w:tcPr>
          <w:p>
            <w:r>
              <w:t>Social Security Administration (ACH)</w:t>
            </w:r>
          </w:p>
        </w:tc>
        <w:tc>
          <w:tcPr>
            <w:tcW w:type="dxa" w:w="1728"/>
          </w:tcPr>
          <w:p>
            <w:r>
              <w:t>Six identical credits of $2,184.00 - the only source of income recorded on file.</w:t>
            </w:r>
          </w:p>
        </w:tc>
      </w:tr>
      <w:tr>
        <w:tc>
          <w:tcPr>
            <w:tcW w:type="dxa" w:w="1728"/>
          </w:tcPr>
          <w:p>
            <w:r>
              <w:rPr>
                <w:b/>
              </w:rPr>
              <w:t>Total Inflows</w:t>
            </w:r>
          </w:p>
        </w:tc>
        <w:tc>
          <w:tcPr>
            <w:tcW w:type="dxa" w:w="1728"/>
          </w:tcPr>
          <w:p>
            <w:r>
              <w:rPr>
                <w:b/>
              </w:rPr>
              <w:t>$56,854.00</w:t>
            </w:r>
          </w:p>
        </w:tc>
        <w:tc>
          <w:tcPr>
            <w:tcW w:type="dxa" w:w="1728"/>
          </w:tcPr>
          <w:p>
            <w:r>
              <w:rPr>
                <w:b/>
              </w:rPr>
              <w:t>11</w:t>
            </w:r>
          </w:p>
        </w:tc>
        <w:tc>
          <w:tcPr>
            <w:tcW w:type="dxa" w:w="1728"/>
          </w:tcPr>
          <w:p>
            <w:r>
              <w:rPr>
                <w:b/>
              </w:rPr>
            </w:r>
          </w:p>
        </w:tc>
        <w:tc>
          <w:tcPr>
            <w:tcW w:type="dxa" w:w="1728"/>
          </w:tcPr>
          <w:p>
            <w:r>
              <w:rPr>
                <w:b/>
              </w:rPr>
              <w:t>The currency deposits alone are more than three times the customer’s recorded income for the period.</w:t>
            </w:r>
          </w:p>
        </w:tc>
      </w:tr>
    </w:tbl>
    <w:p>
      <w:pPr>
        <w:pStyle w:val="Heading4"/>
      </w:pPr>
      <w:r>
        <w:t>The Outflows: One Residence Fee, and Five Wires to One Stranger</w:t>
      </w:r>
    </w:p>
    <w:p>
      <w:r>
        <w:t>Recorded living costs for the whole six months are $5,071.20 - six residence fees of $845.20. Everything else leaves by wire, and every wire goes to the same person.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Cycle</w:t>
            </w:r>
          </w:p>
        </w:tc>
        <w:tc>
          <w:tcPr>
            <w:tcW w:type="dxa" w:w="1440"/>
          </w:tcPr>
          <w:p>
            <w:r>
              <w:rPr>
                <w:b/>
              </w:rPr>
              <w:t>Deposit - date, amount, branch</w:t>
            </w:r>
          </w:p>
        </w:tc>
        <w:tc>
          <w:tcPr>
            <w:tcW w:type="dxa" w:w="1440"/>
          </w:tcPr>
          <w:p>
            <w:r>
              <w:rPr>
                <w:b/>
              </w:rPr>
              <w:t>Wire out - date, amount</w:t>
            </w:r>
          </w:p>
        </w:tc>
        <w:tc>
          <w:tcPr>
            <w:tcW w:type="dxa" w:w="1440"/>
          </w:tcPr>
          <w:p>
            <w:r>
              <w:rPr>
                <w:b/>
              </w:rPr>
              <w:t>Stated purpose</w:t>
            </w:r>
          </w:p>
        </w:tc>
        <w:tc>
          <w:tcPr>
            <w:tcW w:type="dxa" w:w="1440"/>
          </w:tcPr>
          <w:p>
            <w:r>
              <w:rPr>
                <w:b/>
              </w:rPr>
              <w:t>Days</w:t>
            </w:r>
          </w:p>
        </w:tc>
        <w:tc>
          <w:tcPr>
            <w:tcW w:type="dxa" w:w="1440"/>
          </w:tcPr>
          <w:p>
            <w:r>
              <w:rPr>
                <w:b/>
              </w:rPr>
              <w:t>Retained</w:t>
            </w:r>
          </w:p>
        </w:tc>
      </w:tr>
      <w:tr>
        <w:tc>
          <w:tcPr>
            <w:tcW w:type="dxa" w:w="1440"/>
          </w:tcPr>
          <w:p>
            <w:r>
              <w:t>1</w:t>
            </w:r>
          </w:p>
        </w:tc>
        <w:tc>
          <w:tcPr>
            <w:tcW w:type="dxa" w:w="1440"/>
          </w:tcPr>
          <w:p>
            <w:r>
              <w:t>03/16/2026 - $8,400.00 - AZ-SCT-02, Scottsdale</w:t>
            </w:r>
          </w:p>
        </w:tc>
        <w:tc>
          <w:tcPr>
            <w:tcW w:type="dxa" w:w="1440"/>
          </w:tcPr>
          <w:p>
            <w:r>
              <w:t>03/19/2026 - $8,300.00</w:t>
            </w:r>
          </w:p>
        </w:tc>
        <w:tc>
          <w:tcPr>
            <w:tcW w:type="dxa" w:w="1440"/>
          </w:tcPr>
          <w:p>
            <w:r>
              <w:t>"Equipment Purchase"</w:t>
            </w:r>
          </w:p>
        </w:tc>
        <w:tc>
          <w:tcPr>
            <w:tcW w:type="dxa" w:w="1440"/>
          </w:tcPr>
          <w:p>
            <w:r>
              <w:t>3</w:t>
            </w:r>
          </w:p>
        </w:tc>
        <w:tc>
          <w:tcPr>
            <w:tcW w:type="dxa" w:w="1440"/>
          </w:tcPr>
          <w:p>
            <w:r>
              <w:t>$100.00</w:t>
            </w:r>
          </w:p>
        </w:tc>
      </w:tr>
      <w:tr>
        <w:tc>
          <w:tcPr>
            <w:tcW w:type="dxa" w:w="1440"/>
          </w:tcPr>
          <w:p>
            <w:r>
              <w:t>2</w:t>
            </w:r>
          </w:p>
        </w:tc>
        <w:tc>
          <w:tcPr>
            <w:tcW w:type="dxa" w:w="1440"/>
          </w:tcPr>
          <w:p>
            <w:r>
              <w:t>04/20/2026 - $9,100.00 - AZ-PHX-05, Phoenix</w:t>
            </w:r>
          </w:p>
        </w:tc>
        <w:tc>
          <w:tcPr>
            <w:tcW w:type="dxa" w:w="1440"/>
          </w:tcPr>
          <w:p>
            <w:r>
              <w:t>04/23/2026 - $9,000.00</w:t>
            </w:r>
          </w:p>
        </w:tc>
        <w:tc>
          <w:tcPr>
            <w:tcW w:type="dxa" w:w="1440"/>
          </w:tcPr>
          <w:p>
            <w:r>
              <w:t>"Construction Materials Advance"</w:t>
            </w:r>
          </w:p>
        </w:tc>
        <w:tc>
          <w:tcPr>
            <w:tcW w:type="dxa" w:w="1440"/>
          </w:tcPr>
          <w:p>
            <w:r>
              <w:t>3</w:t>
            </w:r>
          </w:p>
        </w:tc>
        <w:tc>
          <w:tcPr>
            <w:tcW w:type="dxa" w:w="1440"/>
          </w:tcPr>
          <w:p>
            <w:r>
              <w:t>$100.00</w:t>
            </w:r>
          </w:p>
        </w:tc>
      </w:tr>
      <w:tr>
        <w:tc>
          <w:tcPr>
            <w:tcW w:type="dxa" w:w="1440"/>
          </w:tcPr>
          <w:p>
            <w:r>
              <w:t>3</w:t>
            </w:r>
          </w:p>
        </w:tc>
        <w:tc>
          <w:tcPr>
            <w:tcW w:type="dxa" w:w="1440"/>
          </w:tcPr>
          <w:p>
            <w:r>
              <w:t>05/18/2026 - $8,750.00 - AZ-MES-01, Mesa</w:t>
            </w:r>
          </w:p>
        </w:tc>
        <w:tc>
          <w:tcPr>
            <w:tcW w:type="dxa" w:w="1440"/>
          </w:tcPr>
          <w:p>
            <w:r>
              <w:t>05/21/2026 - $8,600.00</w:t>
            </w:r>
          </w:p>
        </w:tc>
        <w:tc>
          <w:tcPr>
            <w:tcW w:type="dxa" w:w="1440"/>
          </w:tcPr>
          <w:p>
            <w:r>
              <w:t>"Freight Settlement"</w:t>
            </w:r>
          </w:p>
        </w:tc>
        <w:tc>
          <w:tcPr>
            <w:tcW w:type="dxa" w:w="1440"/>
          </w:tcPr>
          <w:p>
            <w:r>
              <w:t>3</w:t>
            </w:r>
          </w:p>
        </w:tc>
        <w:tc>
          <w:tcPr>
            <w:tcW w:type="dxa" w:w="1440"/>
          </w:tcPr>
          <w:p>
            <w:r>
              <w:t>$150.00</w:t>
            </w:r>
          </w:p>
        </w:tc>
      </w:tr>
      <w:tr>
        <w:tc>
          <w:tcPr>
            <w:tcW w:type="dxa" w:w="1440"/>
          </w:tcPr>
          <w:p>
            <w:r>
              <w:t>4</w:t>
            </w:r>
          </w:p>
        </w:tc>
        <w:tc>
          <w:tcPr>
            <w:tcW w:type="dxa" w:w="1440"/>
          </w:tcPr>
          <w:p>
            <w:r>
              <w:t>06/22/2026 - $9,500.00 - AZ-GLN-04, Glendale</w:t>
            </w:r>
          </w:p>
        </w:tc>
        <w:tc>
          <w:tcPr>
            <w:tcW w:type="dxa" w:w="1440"/>
          </w:tcPr>
          <w:p>
            <w:r>
              <w:t>06/25/2026 - $9,400.00</w:t>
            </w:r>
          </w:p>
        </w:tc>
        <w:tc>
          <w:tcPr>
            <w:tcW w:type="dxa" w:w="1440"/>
          </w:tcPr>
          <w:p>
            <w:r>
              <w:t>"Inventory Purchase"</w:t>
            </w:r>
          </w:p>
        </w:tc>
        <w:tc>
          <w:tcPr>
            <w:tcW w:type="dxa" w:w="1440"/>
          </w:tcPr>
          <w:p>
            <w:r>
              <w:t>3</w:t>
            </w:r>
          </w:p>
        </w:tc>
        <w:tc>
          <w:tcPr>
            <w:tcW w:type="dxa" w:w="1440"/>
          </w:tcPr>
          <w:p>
            <w:r>
              <w:t>$100.00</w:t>
            </w:r>
          </w:p>
        </w:tc>
      </w:tr>
      <w:tr>
        <w:tc>
          <w:tcPr>
            <w:tcW w:type="dxa" w:w="1440"/>
          </w:tcPr>
          <w:p>
            <w:r>
              <w:t>5</w:t>
            </w:r>
          </w:p>
        </w:tc>
        <w:tc>
          <w:tcPr>
            <w:tcW w:type="dxa" w:w="1440"/>
          </w:tcPr>
          <w:p>
            <w:r>
              <w:t>07/20/2026 - $8,000.00 - AZ-TEM-03, Tempe</w:t>
            </w:r>
          </w:p>
        </w:tc>
        <w:tc>
          <w:tcPr>
            <w:tcW w:type="dxa" w:w="1440"/>
          </w:tcPr>
          <w:p>
            <w:r>
              <w:t>07/23/2026 - $7,900.00</w:t>
            </w:r>
          </w:p>
        </w:tc>
        <w:tc>
          <w:tcPr>
            <w:tcW w:type="dxa" w:w="1440"/>
          </w:tcPr>
          <w:p>
            <w:r>
              <w:t>"Machinery Deposit"</w:t>
            </w:r>
          </w:p>
        </w:tc>
        <w:tc>
          <w:tcPr>
            <w:tcW w:type="dxa" w:w="1440"/>
          </w:tcPr>
          <w:p>
            <w:r>
              <w:t>3</w:t>
            </w:r>
          </w:p>
        </w:tc>
        <w:tc>
          <w:tcPr>
            <w:tcW w:type="dxa" w:w="1440"/>
          </w:tcPr>
          <w:p>
            <w:r>
              <w:t>$100.00</w:t>
            </w:r>
          </w:p>
        </w:tc>
      </w:tr>
      <w:tr>
        <w:tc>
          <w:tcPr>
            <w:tcW w:type="dxa" w:w="1440"/>
          </w:tcPr>
          <w:p>
            <w:r>
              <w:rPr>
                <w:b/>
              </w:rPr>
              <w:t>Total</w:t>
            </w:r>
          </w:p>
        </w:tc>
        <w:tc>
          <w:tcPr>
            <w:tcW w:type="dxa" w:w="1440"/>
          </w:tcPr>
          <w:p>
            <w:r>
              <w:rPr>
                <w:b/>
              </w:rPr>
              <w:t>$43,750.00</w:t>
            </w:r>
          </w:p>
        </w:tc>
        <w:tc>
          <w:tcPr>
            <w:tcW w:type="dxa" w:w="1440"/>
          </w:tcPr>
          <w:p>
            <w:r>
              <w:rPr>
                <w:b/>
              </w:rPr>
              <w:t>$43,200.00</w:t>
            </w:r>
          </w:p>
        </w:tc>
        <w:tc>
          <w:tcPr>
            <w:tcW w:type="dxa" w:w="1440"/>
          </w:tcPr>
          <w:p>
            <w:r>
              <w:rPr>
                <w:b/>
              </w:rPr>
            </w:r>
          </w:p>
        </w:tc>
        <w:tc>
          <w:tcPr>
            <w:tcW w:type="dxa" w:w="1440"/>
          </w:tcPr>
          <w:p>
            <w:r>
              <w:rPr>
                <w:b/>
              </w:rPr>
            </w:r>
          </w:p>
        </w:tc>
        <w:tc>
          <w:tcPr>
            <w:tcW w:type="dxa" w:w="1440"/>
          </w:tcPr>
          <w:p>
            <w:r>
              <w:rPr>
                <w:b/>
              </w:rPr>
              <w:t>$550.00</w:t>
            </w:r>
          </w:p>
        </w:tc>
      </w:tr>
    </w:tbl>
    <w:p>
      <w:r>
        <w:t>All five wires go to one beneficiary:</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Beneficiary</w:t>
            </w:r>
          </w:p>
        </w:tc>
        <w:tc>
          <w:tcPr>
            <w:tcW w:type="dxa" w:w="1234"/>
          </w:tcPr>
          <w:p>
            <w:r>
              <w:rPr>
                <w:b/>
              </w:rPr>
              <w:t>Type</w:t>
            </w:r>
          </w:p>
        </w:tc>
        <w:tc>
          <w:tcPr>
            <w:tcW w:type="dxa" w:w="1234"/>
          </w:tcPr>
          <w:p>
            <w:r>
              <w:rPr>
                <w:b/>
              </w:rPr>
              <w:t>Address</w:t>
            </w:r>
          </w:p>
        </w:tc>
        <w:tc>
          <w:tcPr>
            <w:tcW w:type="dxa" w:w="1234"/>
          </w:tcPr>
          <w:p>
            <w:r>
              <w:rPr>
                <w:b/>
              </w:rPr>
              <w:t>Bank / Account</w:t>
            </w:r>
          </w:p>
        </w:tc>
        <w:tc>
          <w:tcPr>
            <w:tcW w:type="dxa" w:w="1234"/>
          </w:tcPr>
          <w:p>
            <w:r>
              <w:rPr>
                <w:b/>
              </w:rPr>
              <w:t>Wires</w:t>
            </w:r>
          </w:p>
        </w:tc>
        <w:tc>
          <w:tcPr>
            <w:tcW w:type="dxa" w:w="1234"/>
          </w:tcPr>
          <w:p>
            <w:r>
              <w:rPr>
                <w:b/>
              </w:rPr>
              <w:t>Total</w:t>
            </w:r>
          </w:p>
        </w:tc>
        <w:tc>
          <w:tcPr>
            <w:tcW w:type="dxa" w:w="1234"/>
          </w:tcPr>
          <w:p>
            <w:r>
              <w:rPr>
                <w:b/>
              </w:rPr>
              <w:t>Relationship on file</w:t>
            </w:r>
          </w:p>
        </w:tc>
      </w:tr>
      <w:tr>
        <w:tc>
          <w:tcPr>
            <w:tcW w:type="dxa" w:w="1234"/>
          </w:tcPr>
          <w:p>
            <w:r>
              <w:rPr>
                <w:b/>
              </w:rPr>
              <w:t>Viktor Balan</w:t>
            </w:r>
          </w:p>
        </w:tc>
        <w:tc>
          <w:tcPr>
            <w:tcW w:type="dxa" w:w="1234"/>
          </w:tcPr>
          <w:p>
            <w:r>
              <w:rPr>
                <w:b/>
              </w:rPr>
              <w:t>Individual</w:t>
            </w:r>
          </w:p>
        </w:tc>
        <w:tc>
          <w:tcPr>
            <w:tcW w:type="dxa" w:w="1234"/>
          </w:tcPr>
          <w:p>
            <w:r>
              <w:rPr>
                <w:b/>
              </w:rPr>
              <w:t>1147 Greenspoint Dr, Houston, TX 77060</w:t>
            </w:r>
          </w:p>
        </w:tc>
        <w:tc>
          <w:tcPr>
            <w:tcW w:type="dxa" w:w="1234"/>
          </w:tcPr>
          <w:p>
            <w:r>
              <w:rPr>
                <w:b/>
              </w:rPr>
              <w:t>Wells Fargo Bank N.A. / 7741002398</w:t>
            </w:r>
          </w:p>
        </w:tc>
        <w:tc>
          <w:tcPr>
            <w:tcW w:type="dxa" w:w="1234"/>
          </w:tcPr>
          <w:p>
            <w:r>
              <w:rPr>
                <w:b/>
              </w:rPr>
              <w:t>5</w:t>
            </w:r>
          </w:p>
        </w:tc>
        <w:tc>
          <w:tcPr>
            <w:tcW w:type="dxa" w:w="1234"/>
          </w:tcPr>
          <w:p>
            <w:r>
              <w:rPr>
                <w:b/>
              </w:rPr>
              <w:t>$43,200.00</w:t>
            </w:r>
          </w:p>
        </w:tc>
        <w:tc>
          <w:tcPr>
            <w:tcW w:type="dxa" w:w="1234"/>
          </w:tcPr>
          <w:p>
            <w:r>
              <w:rPr>
                <w:b/>
              </w:rPr>
              <w:t>None recorded; no prior transaction with this beneficiary</w:t>
            </w:r>
          </w:p>
        </w:tc>
      </w:tr>
    </w:tbl>
    <w:p>
      <w:r>
        <w:t>The Red Flags:</w:t>
      </w:r>
    </w:p>
    <w:p>
      <w:pPr>
        <w:pStyle w:val="ListBullet"/>
      </w:pPr>
      <w:r>
        <w:t>Deposits Kept Below the Reporting Threshold: Five deposits of $8,000.00 to $9,500.00, none of which triggers a currency transaction report.</w:t>
      </w:r>
    </w:p>
    <w:p>
      <w:pPr>
        <w:pStyle w:val="ListBullet"/>
      </w:pPr>
      <w:r>
        <w:t>Multiple Transaction Locations: Five deposits, five different branches, five cities - only one of them the customer’s recorded home city.</w:t>
      </w:r>
    </w:p>
    <w:p>
      <w:pPr>
        <w:pStyle w:val="ListBullet"/>
      </w:pPr>
      <w:r>
        <w:t>Income That Cannot Support the Activity: Recorded income of $13,104.00 for six months against $43,750.00 in currency deposited.</w:t>
      </w:r>
    </w:p>
    <w:p>
      <w:pPr>
        <w:pStyle w:val="ListBullet"/>
      </w:pPr>
      <w:r>
        <w:t>A Fixed Three-Day Interval: Every wire follows its deposit by exactly three days, on all five occasions. A mechanical interval is a pattern, not a coincidence.</w:t>
      </w:r>
    </w:p>
    <w:p>
      <w:pPr>
        <w:pStyle w:val="ListBullet"/>
      </w:pPr>
      <w:r>
        <w:t>One Unrelated Beneficiary: All five wires go to Viktor Balan, with no family, employment or commercial relationship on file and no prior transaction on the account.</w:t>
      </w:r>
    </w:p>
    <w:p>
      <w:pPr>
        <w:pStyle w:val="ListBullet"/>
      </w:pPr>
      <w:r>
        <w:t>Narrations That Do Not Fit the Profile: "Equipment Purchase", "Construction Materials Advance", "Freight Settlement", "Inventory Purchase" and "Machinery Deposit" on the account of a retiree with no business of any kind on file.</w:t>
      </w:r>
    </w:p>
    <w:p>
      <w:pPr>
        <w:pStyle w:val="ListBullet"/>
      </w:pPr>
      <w:r>
        <w:t>A 28-Year Relationship That Changes Abruptly: No currency deposit is recorded on the account in the review period before 03/16/2026. A long-standing account that suddenly changes behaviour is itself a finding.</w:t>
      </w:r>
    </w:p>
    <w:p>
      <w:pPr>
        <w:pStyle w:val="ListBullet"/>
      </w:pPr>
      <w:r>
        <w:t>No Supporting Documentation: The bank holds no invoice, contract or purchase order for any of the five wires, and no source-of-funds documentation for the currency.</w:t>
      </w:r>
    </w:p>
    <w:p>
      <w:pPr>
        <w:pStyle w:val="Heading3"/>
      </w:pPr>
      <w:r>
        <w:t>4. Conclusion for the Case Study</w:t>
      </w:r>
    </w:p>
    <w:p>
      <w:pPr>
        <w:pStyle w:val="ListBullet"/>
      </w:pPr>
      <w:r>
        <w:t>The Verdict: This is a Suspicious Activity Report (SAR) filing for structuring of currency deposits and onward wire transfer to an unrelated party.</w:t>
      </w:r>
    </w:p>
    <w:p>
      <w:pPr>
        <w:pStyle w:val="ListBullet"/>
      </w:pPr>
      <w:r>
        <w:t>Amount involved: the SAR is completed on the $43,750.00 of currency deposited into the account; the $43,200.00 of outgoing wires is the same money leaving and is described in the narrative rather than added to the reported amount.</w:t>
      </w:r>
    </w:p>
    <w:p>
      <w:pPr>
        <w:pStyle w:val="ListBullet"/>
      </w:pPr>
      <w:r>
        <w:t>Date range: 03/16/2026 to 07/23/2026 - the first deposit to the last wire, not the review period and not the case open date.</w:t>
      </w:r>
    </w:p>
    <w:p>
      <w:pPr>
        <w:pStyle w:val="ListBullet"/>
      </w:pPr>
      <w:r>
        <w:t>Field 38(d), Elder financial exploitation, is ticked on the SAR form. The customer is 81, the funds leave to an unrelated individual, and the stated purposes match nothing in his profile. The narrative records those facts and does not assert who is directing the activity - the form field captures the category of suspicion, the narrative stays with the evidence.</w:t>
      </w:r>
    </w:p>
    <w:p>
      <w:pPr>
        <w:pStyle w:val="ListBullet"/>
      </w:pPr>
      <w:r>
        <w:t>The Lesson: The customer may be the subject of the report or the victim of the conduct, and the file does not settle which. That uncertainty is a reason to file, not a reason to wait.</w:t>
      </w:r>
    </w:p>
    <w:p>
      <w:r>
        <w:t>Key takeaways are:</w:t>
      </w:r>
    </w:p>
    <w:p>
      <w:pPr>
        <w:pStyle w:val="ListBullet"/>
      </w:pPr>
      <w:r>
        <w:t>Amounts repeatedly set just under a reporting threshold are a finding in themselves - measure the distance from the threshold, not just the size of the deposit.</w:t>
      </w:r>
    </w:p>
    <w:p>
      <w:pPr>
        <w:pStyle w:val="ListBullet"/>
      </w:pPr>
      <w:r>
        <w:t>A mechanical interval between credit and debit - three days, five times running - is one of the strongest facts you can put in a narrative.</w:t>
      </w:r>
    </w:p>
    <w:p>
      <w:pPr>
        <w:pStyle w:val="ListBullet"/>
      </w:pPr>
      <w:r>
        <w:t>Read the narration against the customer, not against the transaction. "Inventory Purchase" is unremarkable on a trading company and inexplicable on an 81-year-old retiree.</w:t>
      </w:r>
    </w:p>
    <w:p>
      <w:pPr>
        <w:pStyle w:val="ListBullet"/>
      </w:pPr>
      <w:r>
        <w:t>A long, uneventful relationship is the baseline that makes the change visible. Always state when the behaviour started.</w:t>
      </w:r>
    </w:p>
    <w:p>
      <w:pPr>
        <w:pStyle w:val="ListBullet"/>
      </w:pPr>
      <w:r>
        <w:t>Discussion Question: "Only 22 transactions sit on this account for six months, and 11 of them are entirely ordinary. Does a small case make a weak SAR?" (Answer: no - the strength of a filing comes from the consistency of the pattern and the quality of the facts, not the volume. Five deposits, five wires, one beneficiary and a fixed three-day interval are enough to describe the activity end to end.)</w:t>
      </w:r>
    </w:p>
    <w:sectPr w:rsidR="009F580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40686A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25744173"/>
    <w:multiLevelType w:val="hybridMultilevel"/>
    <w:tmpl w:val="74FA2652"/>
    <w:lvl w:ilvl="0" w:tplc="7A9402CC">
      <w:start w:val="1"/>
      <w:numFmt w:val="bullet"/>
      <w:lvlText w:val="·"/>
      <w:lvlJc w:val="left"/>
      <w:pPr>
        <w:ind w:left="720" w:hanging="360"/>
      </w:pPr>
      <w:rPr>
        <w:rFonts w:ascii="Symbol" w:hAnsi="Symbol" w:hint="default"/>
      </w:rPr>
    </w:lvl>
    <w:lvl w:ilvl="1" w:tplc="87203CC8">
      <w:start w:val="1"/>
      <w:numFmt w:val="bullet"/>
      <w:lvlText w:val="o"/>
      <w:lvlJc w:val="left"/>
      <w:pPr>
        <w:ind w:left="1440" w:hanging="360"/>
      </w:pPr>
      <w:rPr>
        <w:rFonts w:ascii="Courier New" w:hAnsi="Courier New" w:hint="default"/>
      </w:rPr>
    </w:lvl>
    <w:lvl w:ilvl="2" w:tplc="218EC29E">
      <w:start w:val="1"/>
      <w:numFmt w:val="bullet"/>
      <w:lvlText w:val=""/>
      <w:lvlJc w:val="left"/>
      <w:pPr>
        <w:ind w:left="2160" w:hanging="360"/>
      </w:pPr>
      <w:rPr>
        <w:rFonts w:ascii="Wingdings" w:hAnsi="Wingdings" w:hint="default"/>
      </w:rPr>
    </w:lvl>
    <w:lvl w:ilvl="3" w:tplc="A6861400">
      <w:start w:val="1"/>
      <w:numFmt w:val="bullet"/>
      <w:lvlText w:val=""/>
      <w:lvlJc w:val="left"/>
      <w:pPr>
        <w:ind w:left="2880" w:hanging="360"/>
      </w:pPr>
      <w:rPr>
        <w:rFonts w:ascii="Symbol" w:hAnsi="Symbol" w:hint="default"/>
      </w:rPr>
    </w:lvl>
    <w:lvl w:ilvl="4" w:tplc="C3F4F822">
      <w:start w:val="1"/>
      <w:numFmt w:val="bullet"/>
      <w:lvlText w:val="o"/>
      <w:lvlJc w:val="left"/>
      <w:pPr>
        <w:ind w:left="3600" w:hanging="360"/>
      </w:pPr>
      <w:rPr>
        <w:rFonts w:ascii="Courier New" w:hAnsi="Courier New" w:hint="default"/>
      </w:rPr>
    </w:lvl>
    <w:lvl w:ilvl="5" w:tplc="D930BA6C">
      <w:start w:val="1"/>
      <w:numFmt w:val="bullet"/>
      <w:lvlText w:val=""/>
      <w:lvlJc w:val="left"/>
      <w:pPr>
        <w:ind w:left="4320" w:hanging="360"/>
      </w:pPr>
      <w:rPr>
        <w:rFonts w:ascii="Wingdings" w:hAnsi="Wingdings" w:hint="default"/>
      </w:rPr>
    </w:lvl>
    <w:lvl w:ilvl="6" w:tplc="5C267144">
      <w:start w:val="1"/>
      <w:numFmt w:val="bullet"/>
      <w:lvlText w:val=""/>
      <w:lvlJc w:val="left"/>
      <w:pPr>
        <w:ind w:left="5040" w:hanging="360"/>
      </w:pPr>
      <w:rPr>
        <w:rFonts w:ascii="Symbol" w:hAnsi="Symbol" w:hint="default"/>
      </w:rPr>
    </w:lvl>
    <w:lvl w:ilvl="7" w:tplc="D0888FF4">
      <w:start w:val="1"/>
      <w:numFmt w:val="bullet"/>
      <w:lvlText w:val="o"/>
      <w:lvlJc w:val="left"/>
      <w:pPr>
        <w:ind w:left="5760" w:hanging="360"/>
      </w:pPr>
      <w:rPr>
        <w:rFonts w:ascii="Courier New" w:hAnsi="Courier New" w:hint="default"/>
      </w:rPr>
    </w:lvl>
    <w:lvl w:ilvl="8" w:tplc="ED823CC8">
      <w:start w:val="1"/>
      <w:numFmt w:val="bullet"/>
      <w:lvlText w:val=""/>
      <w:lvlJc w:val="left"/>
      <w:pPr>
        <w:ind w:left="6480" w:hanging="360"/>
      </w:pPr>
      <w:rPr>
        <w:rFonts w:ascii="Wingdings" w:hAnsi="Wingdings" w:hint="default"/>
      </w:rPr>
    </w:lvl>
  </w:abstractNum>
  <w:abstractNum w:abstractNumId="10" w15:restartNumberingAfterBreak="0">
    <w:nsid w:val="5491B516"/>
    <w:multiLevelType w:val="hybridMultilevel"/>
    <w:tmpl w:val="E43A0296"/>
    <w:lvl w:ilvl="0" w:tplc="75BE9304">
      <w:start w:val="1"/>
      <w:numFmt w:val="bullet"/>
      <w:lvlText w:val="·"/>
      <w:lvlJc w:val="left"/>
      <w:pPr>
        <w:ind w:left="720" w:hanging="360"/>
      </w:pPr>
      <w:rPr>
        <w:rFonts w:ascii="Symbol" w:hAnsi="Symbol" w:hint="default"/>
      </w:rPr>
    </w:lvl>
    <w:lvl w:ilvl="1" w:tplc="8E3AE976">
      <w:start w:val="1"/>
      <w:numFmt w:val="bullet"/>
      <w:lvlText w:val="o"/>
      <w:lvlJc w:val="left"/>
      <w:pPr>
        <w:ind w:left="1440" w:hanging="360"/>
      </w:pPr>
      <w:rPr>
        <w:rFonts w:ascii="Courier New" w:hAnsi="Courier New" w:hint="default"/>
      </w:rPr>
    </w:lvl>
    <w:lvl w:ilvl="2" w:tplc="F7D8CBD8">
      <w:start w:val="1"/>
      <w:numFmt w:val="bullet"/>
      <w:lvlText w:val=""/>
      <w:lvlJc w:val="left"/>
      <w:pPr>
        <w:ind w:left="2160" w:hanging="360"/>
      </w:pPr>
      <w:rPr>
        <w:rFonts w:ascii="Wingdings" w:hAnsi="Wingdings" w:hint="default"/>
      </w:rPr>
    </w:lvl>
    <w:lvl w:ilvl="3" w:tplc="CA10740E">
      <w:start w:val="1"/>
      <w:numFmt w:val="bullet"/>
      <w:lvlText w:val=""/>
      <w:lvlJc w:val="left"/>
      <w:pPr>
        <w:ind w:left="2880" w:hanging="360"/>
      </w:pPr>
      <w:rPr>
        <w:rFonts w:ascii="Symbol" w:hAnsi="Symbol" w:hint="default"/>
      </w:rPr>
    </w:lvl>
    <w:lvl w:ilvl="4" w:tplc="D5B4DEC6">
      <w:start w:val="1"/>
      <w:numFmt w:val="bullet"/>
      <w:lvlText w:val="o"/>
      <w:lvlJc w:val="left"/>
      <w:pPr>
        <w:ind w:left="3600" w:hanging="360"/>
      </w:pPr>
      <w:rPr>
        <w:rFonts w:ascii="Courier New" w:hAnsi="Courier New" w:hint="default"/>
      </w:rPr>
    </w:lvl>
    <w:lvl w:ilvl="5" w:tplc="EBD2952A">
      <w:start w:val="1"/>
      <w:numFmt w:val="bullet"/>
      <w:lvlText w:val=""/>
      <w:lvlJc w:val="left"/>
      <w:pPr>
        <w:ind w:left="4320" w:hanging="360"/>
      </w:pPr>
      <w:rPr>
        <w:rFonts w:ascii="Wingdings" w:hAnsi="Wingdings" w:hint="default"/>
      </w:rPr>
    </w:lvl>
    <w:lvl w:ilvl="6" w:tplc="0F58063E">
      <w:start w:val="1"/>
      <w:numFmt w:val="bullet"/>
      <w:lvlText w:val=""/>
      <w:lvlJc w:val="left"/>
      <w:pPr>
        <w:ind w:left="5040" w:hanging="360"/>
      </w:pPr>
      <w:rPr>
        <w:rFonts w:ascii="Symbol" w:hAnsi="Symbol" w:hint="default"/>
      </w:rPr>
    </w:lvl>
    <w:lvl w:ilvl="7" w:tplc="F86AC04A">
      <w:start w:val="1"/>
      <w:numFmt w:val="bullet"/>
      <w:lvlText w:val="o"/>
      <w:lvlJc w:val="left"/>
      <w:pPr>
        <w:ind w:left="5760" w:hanging="360"/>
      </w:pPr>
      <w:rPr>
        <w:rFonts w:ascii="Courier New" w:hAnsi="Courier New" w:hint="default"/>
      </w:rPr>
    </w:lvl>
    <w:lvl w:ilvl="8" w:tplc="61C056DE">
      <w:start w:val="1"/>
      <w:numFmt w:val="bullet"/>
      <w:lvlText w:val=""/>
      <w:lvlJc w:val="left"/>
      <w:pPr>
        <w:ind w:left="6480" w:hanging="360"/>
      </w:pPr>
      <w:rPr>
        <w:rFonts w:ascii="Wingdings" w:hAnsi="Wingdings" w:hint="default"/>
      </w:rPr>
    </w:lvl>
  </w:abstractNum>
  <w:abstractNum w:abstractNumId="11" w15:restartNumberingAfterBreak="0">
    <w:nsid w:val="569E0E7C"/>
    <w:multiLevelType w:val="hybridMultilevel"/>
    <w:tmpl w:val="13226A70"/>
    <w:lvl w:ilvl="0" w:tplc="CE9E1C38">
      <w:start w:val="1"/>
      <w:numFmt w:val="decimal"/>
      <w:lvlText w:val="%1."/>
      <w:lvlJc w:val="left"/>
      <w:pPr>
        <w:ind w:left="720" w:hanging="360"/>
      </w:pPr>
    </w:lvl>
    <w:lvl w:ilvl="1" w:tplc="DBACF1E0">
      <w:start w:val="1"/>
      <w:numFmt w:val="lowerLetter"/>
      <w:lvlText w:val="%2."/>
      <w:lvlJc w:val="left"/>
      <w:pPr>
        <w:ind w:left="1440" w:hanging="360"/>
      </w:pPr>
    </w:lvl>
    <w:lvl w:ilvl="2" w:tplc="DD361994">
      <w:start w:val="1"/>
      <w:numFmt w:val="lowerRoman"/>
      <w:lvlText w:val="%3."/>
      <w:lvlJc w:val="right"/>
      <w:pPr>
        <w:ind w:left="2160" w:hanging="180"/>
      </w:pPr>
    </w:lvl>
    <w:lvl w:ilvl="3" w:tplc="B630C3D6">
      <w:start w:val="1"/>
      <w:numFmt w:val="decimal"/>
      <w:lvlText w:val="%4."/>
      <w:lvlJc w:val="left"/>
      <w:pPr>
        <w:ind w:left="2880" w:hanging="360"/>
      </w:pPr>
    </w:lvl>
    <w:lvl w:ilvl="4" w:tplc="8842E440">
      <w:start w:val="1"/>
      <w:numFmt w:val="lowerLetter"/>
      <w:lvlText w:val="%5."/>
      <w:lvlJc w:val="left"/>
      <w:pPr>
        <w:ind w:left="3600" w:hanging="360"/>
      </w:pPr>
    </w:lvl>
    <w:lvl w:ilvl="5" w:tplc="2B68932A">
      <w:start w:val="1"/>
      <w:numFmt w:val="lowerRoman"/>
      <w:lvlText w:val="%6."/>
      <w:lvlJc w:val="right"/>
      <w:pPr>
        <w:ind w:left="4320" w:hanging="180"/>
      </w:pPr>
    </w:lvl>
    <w:lvl w:ilvl="6" w:tplc="19BEFF32">
      <w:start w:val="1"/>
      <w:numFmt w:val="decimal"/>
      <w:lvlText w:val="%7."/>
      <w:lvlJc w:val="left"/>
      <w:pPr>
        <w:ind w:left="5040" w:hanging="360"/>
      </w:pPr>
    </w:lvl>
    <w:lvl w:ilvl="7" w:tplc="C218A592">
      <w:start w:val="1"/>
      <w:numFmt w:val="lowerLetter"/>
      <w:lvlText w:val="%8."/>
      <w:lvlJc w:val="left"/>
      <w:pPr>
        <w:ind w:left="5760" w:hanging="360"/>
      </w:pPr>
    </w:lvl>
    <w:lvl w:ilvl="8" w:tplc="5FB4E290">
      <w:start w:val="1"/>
      <w:numFmt w:val="lowerRoman"/>
      <w:lvlText w:val="%9."/>
      <w:lvlJc w:val="right"/>
      <w:pPr>
        <w:ind w:left="6480" w:hanging="180"/>
      </w:pPr>
    </w:lvl>
  </w:abstractNum>
  <w:num w:numId="1" w16cid:durableId="1376663660">
    <w:abstractNumId w:val="10"/>
  </w:num>
  <w:num w:numId="2" w16cid:durableId="533005916">
    <w:abstractNumId w:val="11"/>
  </w:num>
  <w:num w:numId="3" w16cid:durableId="850068737">
    <w:abstractNumId w:val="9"/>
  </w:num>
  <w:num w:numId="4" w16cid:durableId="1235506466">
    <w:abstractNumId w:val="8"/>
  </w:num>
  <w:num w:numId="5" w16cid:durableId="1076635934">
    <w:abstractNumId w:val="6"/>
  </w:num>
  <w:num w:numId="6" w16cid:durableId="389228269">
    <w:abstractNumId w:val="5"/>
  </w:num>
  <w:num w:numId="7" w16cid:durableId="432676883">
    <w:abstractNumId w:val="4"/>
  </w:num>
  <w:num w:numId="8" w16cid:durableId="1251894360">
    <w:abstractNumId w:val="7"/>
  </w:num>
  <w:num w:numId="9" w16cid:durableId="597099885">
    <w:abstractNumId w:val="3"/>
  </w:num>
  <w:num w:numId="10" w16cid:durableId="388696323">
    <w:abstractNumId w:val="2"/>
  </w:num>
  <w:num w:numId="11" w16cid:durableId="1534927903">
    <w:abstractNumId w:val="1"/>
  </w:num>
  <w:num w:numId="12" w16cid:durableId="1518696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hideSpellingErrors/>
  <w:hideGrammaticalError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16A2"/>
    <w:rsid w:val="000F23D3"/>
    <w:rsid w:val="00131C8A"/>
    <w:rsid w:val="0015074B"/>
    <w:rsid w:val="00185A01"/>
    <w:rsid w:val="0029639D"/>
    <w:rsid w:val="00326F90"/>
    <w:rsid w:val="00473506"/>
    <w:rsid w:val="006410C9"/>
    <w:rsid w:val="00680F42"/>
    <w:rsid w:val="006A1C6B"/>
    <w:rsid w:val="007759E4"/>
    <w:rsid w:val="007E16DF"/>
    <w:rsid w:val="009F580A"/>
    <w:rsid w:val="00A202D2"/>
    <w:rsid w:val="00A46BC8"/>
    <w:rsid w:val="00AA1D8D"/>
    <w:rsid w:val="00B47730"/>
    <w:rsid w:val="00B553F3"/>
    <w:rsid w:val="00BE2060"/>
    <w:rsid w:val="00BE77A0"/>
    <w:rsid w:val="00CB0664"/>
    <w:rsid w:val="00CB6A3D"/>
    <w:rsid w:val="00CD7EB6"/>
    <w:rsid w:val="00EB67A6"/>
    <w:rsid w:val="00FC693F"/>
    <w:rsid w:val="240FF933"/>
    <w:rsid w:val="3909DCC2"/>
    <w:rsid w:val="411C8752"/>
    <w:rsid w:val="45199465"/>
    <w:rsid w:val="4C7D95B6"/>
    <w:rsid w:val="51F5B165"/>
    <w:rsid w:val="6252B2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663A13"/>
  <w14:defaultImageDpi w14:val="300"/>
  <w15:docId w15:val="{ECD8E33D-49C4-4FDB-A254-93C8ECF0B0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8B24D870E2CF4480FB58B8A4C8E582" ma:contentTypeVersion="3" ma:contentTypeDescription="Create a new document." ma:contentTypeScope="" ma:versionID="22d3030a0d7f1392f4e6226949aaf978">
  <xsd:schema xmlns:xsd="http://www.w3.org/2001/XMLSchema" xmlns:xs="http://www.w3.org/2001/XMLSchema" xmlns:p="http://schemas.microsoft.com/office/2006/metadata/properties" xmlns:ns2="9b7a0682-08ca-4e5a-a35e-d8d8ffefe728" targetNamespace="http://schemas.microsoft.com/office/2006/metadata/properties" ma:root="true" ma:fieldsID="c3d8606d6a6666a08a669719a982e26f" ns2:_="">
    <xsd:import namespace="9b7a0682-08ca-4e5a-a35e-d8d8ffefe72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7a0682-08ca-4e5a-a35e-d8d8ffefe72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E7789A6D-CD40-425B-B15A-4F6BA29421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7a0682-08ca-4e5a-a35e-d8d8ffefe7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3CBA4FB-33D0-433A-B572-11809CFC4D67}">
  <ds:schemaRefs>
    <ds:schemaRef ds:uri="http://schemas.microsoft.com/sharepoint/v3/contenttype/forms"/>
  </ds:schemaRefs>
</ds:datastoreItem>
</file>

<file path=customXml/itemProps4.xml><?xml version="1.0" encoding="utf-8"?>
<ds:datastoreItem xmlns:ds="http://schemas.openxmlformats.org/officeDocument/2006/customXml" ds:itemID="{14570BA0-4E80-4301-AA96-D2D095BCED1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1035</Words>
  <Characters>5530</Characters>
  <Application>Microsoft Office Word</Application>
  <DocSecurity>0</DocSecurity>
  <Lines>240</Lines>
  <Paragraphs>119</Paragraphs>
  <ScaleCrop>false</ScaleCrop>
  <Manager/>
  <Company/>
  <LinksUpToDate>false</LinksUpToDate>
  <CharactersWithSpaces>6446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t23977</cp:lastModifiedBy>
  <cp:revision>2</cp:revision>
  <dcterms:created xsi:type="dcterms:W3CDTF">2026-09-21T03:47:00Z</dcterms:created>
  <dcterms:modified xsi:type="dcterms:W3CDTF">2026-09-21T03:47:00Z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0x010100248B24D870E2CF4480FB58B8A4C8E582</vt:lpwstr>
  </property>
</Properties>
</file>